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rPr>
          <w:rFonts w:ascii="Arial" w:cs="Arial" w:eastAsia="Arial" w:hAnsi="Arial"/>
          <w:color w:val="14213D"/>
          <w:sz w:val="20"/>
          <w:szCs w:val="20"/>
        </w:rPr>
        <w:t xml:space="preserve">Texto Vigente · Legislación uruguaya consolidada</w:t>
      </w:r>
    </w:p>
    <w:p>
      <w:pPr>
        <w:spacing w:after="20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Ley de la República Oriental del Uruguay</w:t>
      </w:r>
    </w:p>
    <w:p>
      <w:pPr>
        <w:pStyle w:val="Title"/>
      </w:pPr>
      <w:r>
        <w:rPr>
          <w:color w:val="14213D"/>
        </w:rPr>
        <w:t xml:space="preserve">Residencia permanente para familiares de nacionales del MERCOSUR</w:t>
      </w:r>
    </w:p>
    <w:p>
      <w:pPr>
        <w:spacing w:after="300"/>
      </w:pPr>
      <w:r>
        <w:rPr>
          <w:rFonts w:ascii="Arial" w:cs="Arial" w:eastAsia="Arial" w:hAnsi="Arial"/>
          <w:sz w:val="24"/>
          <w:szCs w:val="24"/>
        </w:rPr>
        <w:t xml:space="preserve">Ley N.º 19.254 de 2014</w:t>
      </w:r>
    </w:p>
    <w:p>
      <w:pPr>
        <w:shd w:fill="FFF3DC" w:val="clear"/>
        <w:spacing w:after="400"/>
      </w:pPr>
      <w:r>
        <w:rPr>
          <w:rFonts w:ascii="Arial" w:cs="Arial" w:eastAsia="Arial" w:hAnsi="Arial"/>
          <w:b/>
          <w:bCs/>
          <w:color w:val="14213D"/>
          <w:sz w:val="24"/>
          <w:szCs w:val="24"/>
        </w:rPr>
        <w:t xml:space="preserve">Texto consolidado vigente al 27 de octubre de 2026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Contenido: </w:t>
      </w:r>
      <w:r>
        <w:rPr>
          <w:rFonts w:ascii="Arial" w:cs="Arial" w:eastAsia="Arial" w:hAnsi="Arial"/>
          <w:sz w:val="20"/>
          <w:szCs w:val="20"/>
        </w:rPr>
        <w:t xml:space="preserve">3 artículos, 2 con notas de modificación.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Norma original: </w:t>
      </w:r>
      <w:r>
        <w:rPr>
          <w:rFonts w:ascii="Arial" w:cs="Arial" w:eastAsia="Arial" w:hAnsi="Arial"/>
          <w:sz w:val="20"/>
          <w:szCs w:val="20"/>
        </w:rPr>
        <w:t xml:space="preserve">promulgada el 28 de agosto de 2014, publicada el 4 de septiembre de 2014.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Fuente: </w:t>
      </w:r>
      <w:r>
        <w:rPr>
          <w:rFonts w:ascii="Arial" w:cs="Arial" w:eastAsia="Arial" w:hAnsi="Arial"/>
          <w:sz w:val="20"/>
          <w:szCs w:val="20"/>
        </w:rPr>
        <w:t xml:space="preserve">https://www.impo.com.uy/bases/leyes/19254-2014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Esta edición: </w:t>
      </w:r>
      <w:r>
        <w:rPr>
          <w:rFonts w:ascii="Arial" w:cs="Arial" w:eastAsia="Arial" w:hAnsi="Arial"/>
          <w:sz w:val="20"/>
          <w:szCs w:val="20"/>
        </w:rPr>
        <w:t xml:space="preserve">https://www.textovigente.com/ley-19254/ · descargado el 27 de octubre de 2026</w:t>
      </w:r>
    </w:p>
    <w:p>
      <w:pPr>
        <w:spacing w:before="600"/>
      </w:pP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Fuente y licencia.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Texto tomado del Banco de Datos Jurídico Normativo de IMPO (Dirección Nacional de Impresiones y Publicaciones Oficiales), publicado bajo Licencia de Datos Abiertos – Uruguay. Conjunto de datos: https://www.impo.com.uy/bases/leyes/19254-2014?json=true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Cambios introducidos por Texto Vigente.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Se reagrupan los artículos bajo sus encabezados de estructura, se recomponen los párrafos que la fuente entrega cortados a ancho fijo y se normaliza la tipografía. No se altera el contenido: no se añaden, suprimen ni reescriben disposiciones.</w:t>
      </w:r>
    </w:p>
    <w:p>
      <w:pPr>
        <w:spacing w:after="120" w:before="120"/>
        <w:jc w:val="both"/>
      </w:pPr>
      <w:r>
        <w:rPr>
          <w:rFonts w:ascii="Arial" w:cs="Arial" w:eastAsia="Arial" w:hAnsi="Arial"/>
          <w:b/>
          <w:bCs/>
          <w:color w:val="555555"/>
          <w:sz w:val="18"/>
          <w:szCs w:val="18"/>
        </w:rPr>
        <w:t xml:space="preserve">No es texto oficial.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Ante cualquier discrepancia prevalece el Diario Oficial. Esta edición no sustituye la consulta de la fuente oficial ni el asesoramiento profesional.</w:t>
      </w:r>
    </w:p>
    <w:p>
      <w:r>
        <w:br w:type="page"/>
      </w:r>
    </w:p>
    <w:p>
      <w:pPr>
        <w:sectPr>
          <w:pgSz w:w="11906" w:h="16838" w:orient="portrait"/>
          <w:pgMar w:top="1418" w:right="1418" w:bottom="1418" w:left="1418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"1-4"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1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18.250 de 06/01/2008 artículo 
</w:t>
      </w:r>
      <w:hyperlink w:history="1" r:id="rIdbypaydr2ostqdcw-r5iwf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27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 literal B).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2</w:t>
      </w:r>
    </w:p>
    <w:p>
      <w:pPr>
        <w:spacing w:after="120"/>
        <w:jc w:val="both"/>
      </w:pPr>
      <w:r>
        <w:rPr>
          <w:sz w:val="22"/>
          <w:szCs w:val="22"/>
        </w:rPr>
        <w:t xml:space="preserve">(*)</w:t>
      </w:r>
    </w:p>
    <w:p>
      <w:pPr>
        <w:spacing w:after="40" w:before="60"/>
        <w:ind w:left="360"/>
      </w:pPr>
      <w:r>
        <w:rPr>
          <w:rFonts w:ascii="Arial" w:cs="Arial" w:eastAsia="Arial" w:hAnsi="Arial"/>
          <w:b/>
          <w:bCs/>
          <w:color w:val="555555"/>
          <w:sz w:val="17"/>
          <w:szCs w:val="17"/>
        </w:rPr>
        <w:t xml:space="preserve">Notas</w:t>
      </w:r>
    </w:p>
    <w:p>
      <w:pPr>
        <w:shd w:fill="F4F5F8" w:val="clear"/>
        <w:spacing w:after="60"/>
        <w:ind w:left="36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Este artículo dio nueva redacción a: Ley Nº 18.250 de 06/01/2008 artículo 
</w:t>
      </w:r>
      <w:hyperlink w:history="1" r:id="rIdum_0ro5axkn1hymdnsaba">
        <w:r>
          <w:rPr>
            <w:rStyle w:val="Hyperlink"/>
            <w:rFonts w:ascii="Arial" w:cs="Arial" w:eastAsia="Arial" w:hAnsi="Arial"/>
            <w:sz w:val="17"/>
            <w:szCs w:val="17"/>
          </w:rPr>
          <w:t xml:space="preserve">33</w:t>
        </w:r>
      </w:hyperlink>
      <w:r>
        <w:rPr>
          <w:rFonts w:ascii="Arial" w:cs="Arial" w:eastAsia="Arial" w:hAnsi="Arial"/>
          <w:color w:val="555555"/>
          <w:sz w:val="17"/>
          <w:szCs w:val="17"/>
        </w:rPr>
        <w:t xml:space="preserve">.</w:t>
      </w:r>
    </w:p>
    <w:p>
      <w:pPr>
        <w:pStyle w:val="Articulo"/>
        <w:keepNext/>
        <w:spacing w:after="120" w:before="280"/>
      </w:pPr>
      <w:r>
        <w:rPr>
          <w:rFonts w:ascii="Arial" w:cs="Arial" w:eastAsia="Arial" w:hAnsi="Arial"/>
          <w:b/>
          <w:bCs/>
          <w:color w:val="14213D"/>
          <w:sz w:val="22"/>
          <w:szCs w:val="22"/>
        </w:rPr>
        <w:t xml:space="preserve">Artículo 3</w:t>
      </w:r>
    </w:p>
    <w:p>
      <w:pPr>
        <w:spacing w:after="120"/>
        <w:jc w:val="both"/>
      </w:pPr>
      <w:r>
        <w:rPr>
          <w:sz w:val="22"/>
          <w:szCs w:val="22"/>
        </w:rPr>
        <w:t xml:space="preserve">El Poder Ejecutivo reglamentará esta ley dentro de los treinta días de su publicación.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Residencia permanente para familiares de nacionales del MERCOSUR · texto vigente al 27/10/2026 · www.textovigente.com · página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/>
      <w:bCs/>
      <w:color w:val="14213D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200" w:before="480"/>
    </w:pPr>
    <w:rPr>
      <w:rFonts w:ascii="Arial" w:cs="Arial" w:eastAsia="Arial" w:hAnsi="Arial"/>
      <w:b/>
      <w:bCs/>
      <w:color w:val="14213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60" w:before="360"/>
    </w:pPr>
    <w:rPr>
      <w:rFonts w:ascii="Arial" w:cs="Arial" w:eastAsia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Arial" w:cs="Arial" w:eastAsia="Arial" w:hAnsi="Arial"/>
      <w:b/>
      <w:bCs/>
      <w:color w:val="14213D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Arial" w:cs="Arial" w:eastAsia="Arial" w:hAnsi="Arial"/>
      <w:b/>
      <w:bCs/>
      <w:color w:val="555555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rticulo">
    <w:name w:val="Artículo"/>
    <w:basedOn w:val="Normal"/>
    <w:next w:val="Normal"/>
    <w:qFormat/>
    <w:pPr>
      <w:keepNext/>
    </w:pPr>
    <w:rPr>
      <w:rFonts w:ascii="Arial" w:cs="Arial" w:eastAsia="Arial" w:hAnsi="Arial"/>
      <w:b/>
      <w:bCs/>
      <w:color w:val="14213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aydr2ostqdcw-r5iwf" Type="http://schemas.openxmlformats.org/officeDocument/2006/relationships/hyperlink" Target="https://www.impo.com.uy/bases/leyes/18250-2008/27" TargetMode="External"/><Relationship Id="rIdum_0ro5axkn1hymdnsaba" Type="http://schemas.openxmlformats.org/officeDocument/2006/relationships/hyperlink" Target="https://www.impo.com.uy/bases/leyes/18250-2008/33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Residencia permanente para familiares de nacionales del MERCOSUR · texto consolidado vigente al 27 de octubre de 2026</dc:title>
  <dc:subject>Ley N.º 19.254 de 2014</dc:subject>
  <dc:creator>Texto Vigente</dc:creator>
  <dc:description>Ley N.º 19.254 de 2014. Fuente: IMPO (https://www.impo.com.uy/bases/leyes/19254-2014). https://www.textovigente.com/ley-19254/</dc:description>
  <cp:lastModifiedBy>Un-named</cp:lastModifiedBy>
  <cp:revision>1</cp:revision>
  <dcterms:created xsi:type="dcterms:W3CDTF">2026-10-27T16:00:28.978Z</dcterms:created>
  <dcterms:modified xsi:type="dcterms:W3CDTF">2026-10-27T16:00:28.978Z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