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rFonts w:ascii="Arial" w:cs="Arial" w:eastAsia="Arial" w:hAnsi="Arial"/>
          <w:color w:val="14213D"/>
          <w:sz w:val="20"/>
          <w:szCs w:val="20"/>
        </w:rPr>
        <w:t xml:space="preserve">Texto Vigente · Legislación uruguaya consolidada</w:t>
      </w:r>
    </w:p>
    <w:p>
      <w:pPr>
        <w:spacing w:after="200"/>
      </w:pPr>
      <w:r>
        <w:rPr>
          <w:rFonts w:ascii="Arial" w:cs="Arial" w:eastAsia="Arial" w:hAnsi="Arial"/>
          <w:color w:val="555555"/>
          <w:sz w:val="22"/>
          <w:szCs w:val="22"/>
        </w:rPr>
        <w:t xml:space="preserve">Ley de la República Oriental del Uruguay</w:t>
      </w:r>
    </w:p>
    <w:p>
      <w:pPr>
        <w:pStyle w:val="Title"/>
      </w:pPr>
      <w:r>
        <w:rPr>
          <w:color w:val="14213D"/>
        </w:rPr>
        <w:t xml:space="preserve">Sistema de negociación colectiva del sector privado</w:t>
      </w:r>
    </w:p>
    <w:p>
      <w:pPr>
        <w:spacing w:after="300"/>
      </w:pPr>
      <w:r>
        <w:rPr>
          <w:rFonts w:ascii="Arial" w:cs="Arial" w:eastAsia="Arial" w:hAnsi="Arial"/>
          <w:sz w:val="24"/>
          <w:szCs w:val="24"/>
        </w:rPr>
        <w:t xml:space="preserve">Ley N.º 18.566 de 2009</w:t>
      </w:r>
    </w:p>
    <w:p>
      <w:pPr>
        <w:shd w:fill="FFF3DC" w:val="clear"/>
        <w:spacing w:after="400"/>
      </w:pPr>
      <w:r>
        <w:rPr>
          <w:rFonts w:ascii="Arial" w:cs="Arial" w:eastAsia="Arial" w:hAnsi="Arial"/>
          <w:b/>
          <w:bCs/>
          <w:color w:val="14213D"/>
          <w:sz w:val="24"/>
          <w:szCs w:val="24"/>
        </w:rPr>
        <w:t xml:space="preserve">Texto consolidado vigente al 13 de septiembre de 2026</w:t>
      </w:r>
    </w:p>
    <w:p>
      <w:pPr>
        <w:spacing w:after="120"/>
      </w:pPr>
      <w:r>
        <w:rPr>
          <w:rFonts w:ascii="Arial" w:cs="Arial" w:eastAsia="Arial" w:hAnsi="Arial"/>
          <w:b/>
          <w:bCs/>
          <w:sz w:val="20"/>
          <w:szCs w:val="20"/>
        </w:rPr>
        <w:t xml:space="preserve">Última modificación incorporada: </w:t>
      </w:r>
      <w:r>
        <w:rPr>
          <w:rFonts w:ascii="Arial" w:cs="Arial" w:eastAsia="Arial" w:hAnsi="Arial"/>
          <w:sz w:val="20"/>
          <w:szCs w:val="20"/>
        </w:rPr>
        <w:t xml:space="preserve">Ley N.º 20.145 de 17/05/2023</w:t>
      </w:r>
    </w:p>
    <w:p>
      <w:pPr>
        <w:spacing w:after="120"/>
      </w:pPr>
      <w:r>
        <w:rPr>
          <w:rFonts w:ascii="Arial" w:cs="Arial" w:eastAsia="Arial" w:hAnsi="Arial"/>
          <w:b/>
          <w:bCs/>
          <w:sz w:val="20"/>
          <w:szCs w:val="20"/>
        </w:rPr>
        <w:t xml:space="preserve">Contenido: </w:t>
      </w:r>
      <w:r>
        <w:rPr>
          <w:rFonts w:ascii="Arial" w:cs="Arial" w:eastAsia="Arial" w:hAnsi="Arial"/>
          <w:sz w:val="20"/>
          <w:szCs w:val="20"/>
        </w:rPr>
        <w:t xml:space="preserve">21 artículos, 7 con notas de modificación.</w:t>
      </w:r>
    </w:p>
    <w:p>
      <w:pPr>
        <w:spacing w:after="120"/>
      </w:pPr>
      <w:r>
        <w:rPr>
          <w:rFonts w:ascii="Arial" w:cs="Arial" w:eastAsia="Arial" w:hAnsi="Arial"/>
          <w:b/>
          <w:bCs/>
          <w:sz w:val="20"/>
          <w:szCs w:val="20"/>
        </w:rPr>
        <w:t xml:space="preserve">Norma original: </w:t>
      </w:r>
      <w:r>
        <w:rPr>
          <w:rFonts w:ascii="Arial" w:cs="Arial" w:eastAsia="Arial" w:hAnsi="Arial"/>
          <w:sz w:val="20"/>
          <w:szCs w:val="20"/>
        </w:rPr>
        <w:t xml:space="preserve">promulgada el 11 de septiembre de 2009, publicada el 30 de septiembre de 2009.</w:t>
      </w:r>
    </w:p>
    <w:p>
      <w:pPr>
        <w:spacing w:after="120"/>
      </w:pPr>
      <w:r>
        <w:rPr>
          <w:rFonts w:ascii="Arial" w:cs="Arial" w:eastAsia="Arial" w:hAnsi="Arial"/>
          <w:b/>
          <w:bCs/>
          <w:sz w:val="20"/>
          <w:szCs w:val="20"/>
        </w:rPr>
        <w:t xml:space="preserve">Fuente: </w:t>
      </w:r>
      <w:r>
        <w:rPr>
          <w:rFonts w:ascii="Arial" w:cs="Arial" w:eastAsia="Arial" w:hAnsi="Arial"/>
          <w:sz w:val="20"/>
          <w:szCs w:val="20"/>
        </w:rPr>
        <w:t xml:space="preserve">https://www.impo.com.uy/bases/leyes/18566-2009</w:t>
      </w:r>
    </w:p>
    <w:p>
      <w:pPr>
        <w:spacing w:after="120"/>
      </w:pPr>
      <w:r>
        <w:rPr>
          <w:rFonts w:ascii="Arial" w:cs="Arial" w:eastAsia="Arial" w:hAnsi="Arial"/>
          <w:b/>
          <w:bCs/>
          <w:sz w:val="20"/>
          <w:szCs w:val="20"/>
        </w:rPr>
        <w:t xml:space="preserve">Esta edición: </w:t>
      </w:r>
      <w:r>
        <w:rPr>
          <w:rFonts w:ascii="Arial" w:cs="Arial" w:eastAsia="Arial" w:hAnsi="Arial"/>
          <w:sz w:val="20"/>
          <w:szCs w:val="20"/>
        </w:rPr>
        <w:t xml:space="preserve">https://www.textovigente.com/ley-18566/ · descargado el 13 de septiembre de 2026</w:t>
      </w:r>
    </w:p>
    <w:p>
      <w:pPr>
        <w:spacing w:before="600"/>
      </w:pPr>
    </w:p>
    <w:p>
      <w:pPr>
        <w:spacing w:after="120" w:before="120"/>
        <w:jc w:val="both"/>
      </w:pPr>
      <w:r>
        <w:rPr>
          <w:rFonts w:ascii="Arial" w:cs="Arial" w:eastAsia="Arial" w:hAnsi="Arial"/>
          <w:b/>
          <w:bCs/>
          <w:color w:val="555555"/>
          <w:sz w:val="18"/>
          <w:szCs w:val="18"/>
        </w:rPr>
        <w:t xml:space="preserve">Fuente y licencia. </w:t>
      </w:r>
      <w:r>
        <w:rPr>
          <w:rFonts w:ascii="Arial" w:cs="Arial" w:eastAsia="Arial" w:hAnsi="Arial"/>
          <w:color w:val="555555"/>
          <w:sz w:val="18"/>
          <w:szCs w:val="18"/>
        </w:rPr>
        <w:t xml:space="preserve">Texto tomado del Banco de Datos Jurídico Normativo de IMPO (Dirección Nacional de Impresiones y Publicaciones Oficiales), publicado bajo Licencia de Datos Abiertos – Uruguay. Conjunto de datos: https://www.impo.com.uy/bases/leyes/18566-2009?json=true</w:t>
      </w:r>
    </w:p>
    <w:p>
      <w:pPr>
        <w:spacing w:after="120" w:before="120"/>
        <w:jc w:val="both"/>
      </w:pPr>
      <w:r>
        <w:rPr>
          <w:rFonts w:ascii="Arial" w:cs="Arial" w:eastAsia="Arial" w:hAnsi="Arial"/>
          <w:b/>
          <w:bCs/>
          <w:color w:val="555555"/>
          <w:sz w:val="18"/>
          <w:szCs w:val="18"/>
        </w:rPr>
        <w:t xml:space="preserve">Cambios introducidos por Texto Vigente. </w:t>
      </w:r>
      <w:r>
        <w:rPr>
          <w:rFonts w:ascii="Arial" w:cs="Arial" w:eastAsia="Arial" w:hAnsi="Arial"/>
          <w:color w:val="555555"/>
          <w:sz w:val="18"/>
          <w:szCs w:val="18"/>
        </w:rPr>
        <w:t xml:space="preserve">Se reagrupan los artículos bajo sus encabezados de estructura, se recomponen los párrafos que la fuente entrega cortados a ancho fijo y se normaliza la tipografía. No se altera el contenido: no se añaden, suprimen ni reescriben disposiciones.</w:t>
      </w:r>
    </w:p>
    <w:p>
      <w:pPr>
        <w:spacing w:after="120" w:before="120"/>
        <w:jc w:val="both"/>
      </w:pPr>
      <w:r>
        <w:rPr>
          <w:rFonts w:ascii="Arial" w:cs="Arial" w:eastAsia="Arial" w:hAnsi="Arial"/>
          <w:b/>
          <w:bCs/>
          <w:color w:val="555555"/>
          <w:sz w:val="18"/>
          <w:szCs w:val="18"/>
        </w:rPr>
        <w:t xml:space="preserve">No es texto oficial. </w:t>
      </w:r>
      <w:r>
        <w:rPr>
          <w:rFonts w:ascii="Arial" w:cs="Arial" w:eastAsia="Arial" w:hAnsi="Arial"/>
          <w:color w:val="555555"/>
          <w:sz w:val="18"/>
          <w:szCs w:val="18"/>
        </w:rPr>
        <w:t xml:space="preserve">Ante cualquier discrepancia prevalece el Diario Oficial. Esta edición no sustituye la consulta de la fuente oficial ni el asesoramiento profesional.</w:t>
      </w:r>
    </w:p>
    <w:p>
      <w:r>
        <w:br w:type="page"/>
      </w:r>
    </w:p>
    <w:p>
      <w:pPr>
        <w:sectPr>
          <w:pgSz w:w="11906" w:h="16838" w:orient="portrait"/>
          <w:pgMar w:top="1418" w:right="1418" w:bottom="1418" w:left="1418" w:header="708" w:footer="708" w:gutter="0"/>
          <w:pgNumType/>
          <w:docGrid w:linePitch="360"/>
        </w:sectPr>
      </w:pPr>
    </w:p>
    <w:p>
      <w:pPr>
        <w:pStyle w:val="Heading1"/>
      </w:pPr>
      <w:r>
        <w:t xml:space="preserve">Índice</w:t>
      </w:r>
    </w:p>
    <w:sdt>
      <w:sdtPr>
        <w:alias w:val="Índice"/>
      </w:sdtPr>
      <w:sdtContent>
        <w:p>
          <w:r>
            <w:fldChar w:fldCharType="begin" w:dirty="true"/>
            <w:instrText xml:space="preserve">TOC \h \o "1-4"</w:instrText>
            <w:fldChar w:fldCharType="separate"/>
          </w:r>
        </w:p>
        <w:p>
          <w:r>
            <w:fldChar w:fldCharType="end"/>
          </w:r>
        </w:p>
      </w:sdtContent>
    </w:sdt>
    <w:p>
      <w:r>
        <w:br w:type="page"/>
      </w:r>
    </w:p>
    <w:p>
      <w:pPr>
        <w:pStyle w:val="Heading4"/>
      </w:pPr>
      <w:r>
        <w:t xml:space="preserve">I - PRINCIPIOS Y DERECHOS FUNDAMENTALES DEL SISTEMA DE NEGOCIACION COLECTIVA</w:t>
      </w:r>
    </w:p>
    <w:p>
      <w:pPr>
        <w:pStyle w:val="Articulo"/>
        <w:keepNext/>
        <w:spacing w:after="120" w:before="280"/>
      </w:pPr>
      <w:r>
        <w:rPr>
          <w:rFonts w:ascii="Arial" w:cs="Arial" w:eastAsia="Arial" w:hAnsi="Arial"/>
          <w:b/>
          <w:bCs/>
          <w:color w:val="14213D"/>
          <w:sz w:val="22"/>
          <w:szCs w:val="22"/>
        </w:rPr>
        <w:t xml:space="preserve">Artículo 1</w:t>
      </w:r>
      <w:r>
        <w:rPr>
          <w:rFonts w:ascii="Arial" w:cs="Arial" w:eastAsia="Arial" w:hAnsi="Arial"/>
          <w:color w:val="555555"/>
          <w:sz w:val="22"/>
          <w:szCs w:val="22"/>
        </w:rPr>
        <w:t xml:space="preserve"> · Principios y derechos</w:t>
      </w:r>
    </w:p>
    <w:p>
      <w:pPr>
        <w:spacing w:after="120"/>
        <w:jc w:val="both"/>
      </w:pPr>
      <w:r>
        <w:rPr>
          <w:sz w:val="22"/>
          <w:szCs w:val="22"/>
        </w:rPr>
        <w:t xml:space="preserve">(Principios y derechos).- El sistema de negociación colectiva estará inspirado y regido por los principios y derechos que se desarrollan en el presente capítulo y demás derechos fundamentales internacionalmente reconocidos.</w:t>
      </w:r>
    </w:p>
    <w:p>
      <w:pPr>
        <w:pStyle w:val="Articulo"/>
        <w:keepNext/>
        <w:spacing w:after="120" w:before="280"/>
      </w:pPr>
      <w:r>
        <w:rPr>
          <w:rFonts w:ascii="Arial" w:cs="Arial" w:eastAsia="Arial" w:hAnsi="Arial"/>
          <w:b/>
          <w:bCs/>
          <w:color w:val="14213D"/>
          <w:sz w:val="22"/>
          <w:szCs w:val="22"/>
        </w:rPr>
        <w:t xml:space="preserve">Artículo 2</w:t>
      </w:r>
      <w:r>
        <w:rPr>
          <w:rFonts w:ascii="Arial" w:cs="Arial" w:eastAsia="Arial" w:hAnsi="Arial"/>
          <w:color w:val="555555"/>
          <w:sz w:val="22"/>
          <w:szCs w:val="22"/>
        </w:rPr>
        <w:t xml:space="preserve"> · Derecho de negociación colectiva</w:t>
      </w:r>
    </w:p>
    <w:p>
      <w:pPr>
        <w:spacing w:after="120"/>
        <w:jc w:val="both"/>
      </w:pPr>
      <w:r>
        <w:rPr>
          <w:sz w:val="22"/>
          <w:szCs w:val="22"/>
        </w:rPr>
        <w:t xml:space="preserve">(Derecho de negociación colectiva).- En ejercicio de su autonomía colectiva los empleadores u organizaciones de empleadores, por una parte, y una organización o varias organizaciones de trabajadores, por otra, tienen derecho a adoptar libremente acuerdos sobre las condiciones de trabajo y empleo, y regular sus relaciones recíprocas.</w:t>
      </w:r>
    </w:p>
    <w:p>
      <w:pPr>
        <w:pStyle w:val="Articulo"/>
        <w:keepNext/>
        <w:spacing w:after="120" w:before="280"/>
      </w:pPr>
      <w:r>
        <w:rPr>
          <w:rFonts w:ascii="Arial" w:cs="Arial" w:eastAsia="Arial" w:hAnsi="Arial"/>
          <w:b/>
          <w:bCs/>
          <w:color w:val="14213D"/>
          <w:sz w:val="22"/>
          <w:szCs w:val="22"/>
        </w:rPr>
        <w:t xml:space="preserve">Artículo 3</w:t>
      </w:r>
      <w:r>
        <w:rPr>
          <w:rFonts w:ascii="Arial" w:cs="Arial" w:eastAsia="Arial" w:hAnsi="Arial"/>
          <w:color w:val="555555"/>
          <w:sz w:val="22"/>
          <w:szCs w:val="22"/>
        </w:rPr>
        <w:t xml:space="preserve"> · Promoción y garantía</w:t>
      </w:r>
    </w:p>
    <w:p>
      <w:pPr>
        <w:spacing w:after="120"/>
        <w:jc w:val="both"/>
      </w:pPr>
      <w:r>
        <w:rPr>
          <w:sz w:val="22"/>
          <w:szCs w:val="22"/>
        </w:rPr>
        <w:t xml:space="preserve">(Promoción y garantía).- El Estado promoverá y garantizará el libre ejercicio de la negociación colectiva en todos los niveles. A tales efectos adoptará las medidas adecuadas a fin de facilitar y fomentar la negociación entre empleadores y trabajadores.</w:t>
      </w:r>
    </w:p>
    <w:p>
      <w:pPr>
        <w:pStyle w:val="Articulo"/>
        <w:keepNext/>
        <w:spacing w:after="120" w:before="280"/>
      </w:pPr>
      <w:r>
        <w:rPr>
          <w:rFonts w:ascii="Arial" w:cs="Arial" w:eastAsia="Arial" w:hAnsi="Arial"/>
          <w:b/>
          <w:bCs/>
          <w:color w:val="14213D"/>
          <w:sz w:val="22"/>
          <w:szCs w:val="22"/>
        </w:rPr>
        <w:t xml:space="preserve">Artículo 4</w:t>
      </w:r>
      <w:r>
        <w:rPr>
          <w:rFonts w:ascii="Arial" w:cs="Arial" w:eastAsia="Arial" w:hAnsi="Arial"/>
          <w:color w:val="555555"/>
          <w:sz w:val="22"/>
          <w:szCs w:val="22"/>
        </w:rPr>
        <w:t xml:space="preserve"> · Deber de negociar de buena fe</w:t>
      </w:r>
    </w:p>
    <w:p>
      <w:pPr>
        <w:spacing w:after="120"/>
        <w:jc w:val="both"/>
      </w:pPr>
      <w:r>
        <w:rPr>
          <w:sz w:val="22"/>
          <w:szCs w:val="22"/>
        </w:rPr>
        <w:t xml:space="preserve">(Deber de negociar de buena fe).- En toda negociación colectiva las partes conferirán a sus negociadores respectivos el mandato necesario para conducir y concluir las negociaciones a reserva de cualquier disposición relativa a consultas en el seno de sus respectivas organizaciones. En cualquier caso, deberán fundar suficientemente las posiciones que asuman en la negociación.</w:t>
      </w:r>
    </w:p>
    <w:p>
      <w:pPr>
        <w:spacing w:after="120"/>
        <w:jc w:val="both"/>
      </w:pPr>
      <w:r>
        <w:rPr>
          <w:sz w:val="22"/>
          <w:szCs w:val="22"/>
        </w:rPr>
        <w:t xml:space="preserve">Las partes deberán asimismo intercambiar informaciones necesarias a fin de facilitar un desarrollo normal del proceso de negociación colectiva. Tratándose de información confidencial, la comunicación lleva implícita la obligación de reserva, cuyo desconocimiento hará incurrir en responsabilidad a quienes incumplan.</w:t>
      </w:r>
    </w:p>
    <w:p>
      <w:pPr>
        <w:spacing w:after="120"/>
        <w:jc w:val="both"/>
      </w:pPr>
      <w:r>
        <w:rPr>
          <w:sz w:val="22"/>
          <w:szCs w:val="22"/>
        </w:rPr>
        <w:t xml:space="preserve">A los efectos de lo dispuesto en el inciso precedente, las organizaciones de empleadores y de trabajadores deberán contar con personería jurídica reconocida.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3º) agregado/s por: Ley Nº 20.</w:t>
      </w:r>
      <w:hyperlink w:history="1" r:id="rIdx_qxwia_ahphc5rcvskh6">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45 de 17/05/2023 artículo 1.</w:t>
      </w:r>
    </w:p>
    <w:p>
      <w:pPr>
        <w:pStyle w:val="Articulo"/>
        <w:keepNext/>
        <w:spacing w:after="120" w:before="280"/>
      </w:pPr>
      <w:r>
        <w:rPr>
          <w:rFonts w:ascii="Arial" w:cs="Arial" w:eastAsia="Arial" w:hAnsi="Arial"/>
          <w:b/>
          <w:bCs/>
          <w:color w:val="14213D"/>
          <w:sz w:val="22"/>
          <w:szCs w:val="22"/>
        </w:rPr>
        <w:t xml:space="preserve">Artículo 5</w:t>
      </w:r>
      <w:r>
        <w:rPr>
          <w:rFonts w:ascii="Arial" w:cs="Arial" w:eastAsia="Arial" w:hAnsi="Arial"/>
          <w:color w:val="555555"/>
          <w:sz w:val="22"/>
          <w:szCs w:val="22"/>
        </w:rPr>
        <w:t xml:space="preserve"> · Colaboración y consulta</w:t>
      </w:r>
    </w:p>
    <w:p>
      <w:pPr>
        <w:spacing w:after="120"/>
        <w:jc w:val="both"/>
      </w:pPr>
      <w:r>
        <w:rPr>
          <w:sz w:val="22"/>
          <w:szCs w:val="22"/>
        </w:rPr>
        <w:t xml:space="preserve">(Colaboración y consulta).- La colaboración y consultas entre las partes deberán tener como objetivo general el fomento de la comprensión mutua y de las buenas relaciones entre las autoridades públicas y las organizaciones de empleadores y de trabajadores, así como entre las propias organizaciones, a fin de desarrollar la economía en su conjunto o algunas de sus ramas, de mejorar las condiciones de trabajo y de elevar el nivel de vida.</w:t>
      </w:r>
    </w:p>
    <w:p>
      <w:pPr>
        <w:spacing w:after="120"/>
        <w:jc w:val="both"/>
      </w:pPr>
      <w:r>
        <w:rPr>
          <w:sz w:val="22"/>
          <w:szCs w:val="22"/>
        </w:rPr>
        <w:t xml:space="preserve">Tal colaboración y consultas deberán tener como objetivo, en particular:</w:t>
      </w:r>
    </w:p>
    <w:p>
      <w:pPr>
        <w:spacing w:after="120"/>
        <w:ind w:left="567"/>
        <w:jc w:val="both"/>
      </w:pPr>
      <w:r>
        <w:rPr>
          <w:sz w:val="22"/>
          <w:szCs w:val="22"/>
        </w:rPr>
        <w:t xml:space="preserve">A) Permitir el examen conjunto, por parte de las organizaciones de</w:t>
      </w:r>
    </w:p>
    <w:p>
      <w:pPr>
        <w:spacing w:after="120"/>
        <w:jc w:val="both"/>
      </w:pPr>
      <w:r>
        <w:rPr>
          <w:sz w:val="22"/>
          <w:szCs w:val="22"/>
        </w:rPr>
        <w:t xml:space="preserve">empleadores y de trabajadores, de cuestiones de interés mutuo, a fin de</w:t>
      </w:r>
    </w:p>
    <w:p>
      <w:pPr>
        <w:spacing w:after="120"/>
        <w:jc w:val="both"/>
      </w:pPr>
      <w:r>
        <w:rPr>
          <w:sz w:val="22"/>
          <w:szCs w:val="22"/>
        </w:rPr>
        <w:t xml:space="preserve">llegar, en la mayor medida posible, a soluciones aceptadas de común</w:t>
      </w:r>
    </w:p>
    <w:p>
      <w:pPr>
        <w:spacing w:after="120"/>
        <w:jc w:val="both"/>
      </w:pPr>
      <w:r>
        <w:rPr>
          <w:sz w:val="22"/>
          <w:szCs w:val="22"/>
        </w:rPr>
        <w:t xml:space="preserve">acuerdo.</w:t>
      </w:r>
    </w:p>
    <w:p>
      <w:pPr>
        <w:spacing w:after="120"/>
        <w:ind w:left="567"/>
        <w:jc w:val="both"/>
      </w:pPr>
      <w:r>
        <w:rPr>
          <w:sz w:val="22"/>
          <w:szCs w:val="22"/>
        </w:rPr>
        <w:t xml:space="preserve">B) Lograr que las autoridades públicas competentes recaben en forma</w:t>
      </w:r>
    </w:p>
    <w:p>
      <w:pPr>
        <w:spacing w:after="120"/>
        <w:jc w:val="both"/>
      </w:pPr>
      <w:r>
        <w:rPr>
          <w:sz w:val="22"/>
          <w:szCs w:val="22"/>
        </w:rPr>
        <w:t xml:space="preserve">adecuada las opiniones, el asesoramiento y la asistencia de las</w:t>
      </w:r>
    </w:p>
    <w:p>
      <w:pPr>
        <w:spacing w:after="120"/>
        <w:jc w:val="both"/>
      </w:pPr>
      <w:r>
        <w:rPr>
          <w:sz w:val="22"/>
          <w:szCs w:val="22"/>
        </w:rPr>
        <w:t xml:space="preserve">organizaciones de empleadores y de trabajadores respecto de cuestiones</w:t>
      </w:r>
    </w:p>
    <w:p>
      <w:pPr>
        <w:spacing w:after="120"/>
        <w:jc w:val="both"/>
      </w:pPr>
      <w:r>
        <w:rPr>
          <w:sz w:val="22"/>
          <w:szCs w:val="22"/>
        </w:rPr>
        <w:t xml:space="preserve">tales como:</w:t>
      </w:r>
    </w:p>
    <w:p>
      <w:pPr>
        <w:spacing w:after="120"/>
        <w:ind w:left="567"/>
        <w:jc w:val="both"/>
      </w:pPr>
      <w:r>
        <w:rPr>
          <w:sz w:val="22"/>
          <w:szCs w:val="22"/>
        </w:rPr>
        <w:t xml:space="preserve">i) La preparación y aplicación de la legislación relativa a sus</w:t>
      </w:r>
    </w:p>
    <w:p>
      <w:pPr>
        <w:spacing w:after="120"/>
        <w:jc w:val="both"/>
      </w:pPr>
      <w:r>
        <w:rPr>
          <w:sz w:val="22"/>
          <w:szCs w:val="22"/>
        </w:rPr>
        <w:t xml:space="preserve">intereses.</w:t>
      </w:r>
    </w:p>
    <w:p>
      <w:pPr>
        <w:spacing w:after="120"/>
        <w:jc w:val="both"/>
      </w:pPr>
      <w:r>
        <w:rPr>
          <w:sz w:val="22"/>
          <w:szCs w:val="22"/>
        </w:rPr>
        <w:t xml:space="preserve">ii) La creación y funcionamiento de organismos nacionales, tales como</w:t>
      </w:r>
    </w:p>
    <w:p>
      <w:pPr>
        <w:spacing w:after="120"/>
        <w:jc w:val="both"/>
      </w:pPr>
      <w:r>
        <w:rPr>
          <w:sz w:val="22"/>
          <w:szCs w:val="22"/>
        </w:rPr>
        <w:t xml:space="preserve">los que se ocupan de organización del empleo, formación y</w:t>
      </w:r>
    </w:p>
    <w:p>
      <w:pPr>
        <w:spacing w:after="120"/>
        <w:jc w:val="both"/>
      </w:pPr>
      <w:r>
        <w:rPr>
          <w:sz w:val="22"/>
          <w:szCs w:val="22"/>
        </w:rPr>
        <w:t xml:space="preserve">readaptación profesionales, protección de los trabajadores,</w:t>
      </w:r>
    </w:p>
    <w:p>
      <w:pPr>
        <w:spacing w:after="120"/>
        <w:jc w:val="both"/>
      </w:pPr>
      <w:r>
        <w:rPr>
          <w:sz w:val="22"/>
          <w:szCs w:val="22"/>
        </w:rPr>
        <w:t xml:space="preserve">seguridad e higiene en el trabajo, productividad, seguridad y</w:t>
      </w:r>
    </w:p>
    <w:p>
      <w:pPr>
        <w:spacing w:after="120"/>
        <w:jc w:val="both"/>
      </w:pPr>
      <w:r>
        <w:rPr>
          <w:sz w:val="22"/>
          <w:szCs w:val="22"/>
        </w:rPr>
        <w:t xml:space="preserve">bienestar sociales.</w:t>
      </w:r>
    </w:p>
    <w:p>
      <w:pPr>
        <w:spacing w:after="120"/>
        <w:jc w:val="both"/>
      </w:pPr>
      <w:r>
        <w:rPr>
          <w:sz w:val="22"/>
          <w:szCs w:val="22"/>
        </w:rPr>
        <w:t xml:space="preserve">iii) La elaboración y aplicación de planes de desarrollo económico y</w:t>
      </w:r>
    </w:p>
    <w:p>
      <w:pPr>
        <w:spacing w:after="120"/>
        <w:jc w:val="both"/>
      </w:pPr>
      <w:r>
        <w:rPr>
          <w:sz w:val="22"/>
          <w:szCs w:val="22"/>
        </w:rPr>
        <w:t xml:space="preserve">social.</w:t>
      </w:r>
    </w:p>
    <w:p>
      <w:pPr>
        <w:pStyle w:val="Articulo"/>
        <w:keepNext/>
        <w:spacing w:after="120" w:before="280"/>
      </w:pPr>
      <w:r>
        <w:rPr>
          <w:rFonts w:ascii="Arial" w:cs="Arial" w:eastAsia="Arial" w:hAnsi="Arial"/>
          <w:b/>
          <w:bCs/>
          <w:color w:val="14213D"/>
          <w:sz w:val="22"/>
          <w:szCs w:val="22"/>
        </w:rPr>
        <w:t xml:space="preserve">Artículo 6</w:t>
      </w:r>
      <w:r>
        <w:rPr>
          <w:rFonts w:ascii="Arial" w:cs="Arial" w:eastAsia="Arial" w:hAnsi="Arial"/>
          <w:color w:val="555555"/>
          <w:sz w:val="22"/>
          <w:szCs w:val="22"/>
        </w:rPr>
        <w:t xml:space="preserve"> · Formación para la negociación</w:t>
      </w:r>
    </w:p>
    <w:p>
      <w:pPr>
        <w:spacing w:after="120"/>
        <w:jc w:val="both"/>
      </w:pPr>
      <w:r>
        <w:rPr>
          <w:sz w:val="22"/>
          <w:szCs w:val="22"/>
        </w:rPr>
        <w:t xml:space="preserve">(Formación para la negociación).- Las partes en la negociación colectiva podrán adoptar medidas para que sus negociadores, en todos los niveles, tengan la oportunidad de recibir una formación adecuada.</w:t>
      </w:r>
    </w:p>
    <w:p>
      <w:pPr>
        <w:spacing w:after="120"/>
        <w:jc w:val="both"/>
      </w:pPr>
      <w:r>
        <w:rPr>
          <w:sz w:val="22"/>
          <w:szCs w:val="22"/>
        </w:rPr>
        <w:t xml:space="preserve">A petición de las organizaciones interesadas, las autoridades públicas prestarán asistencia respecto de tal formación a las organizaciones de empleadores y de trabajadores que lo soliciten.</w:t>
      </w:r>
    </w:p>
    <w:p>
      <w:pPr>
        <w:spacing w:after="120"/>
        <w:jc w:val="both"/>
      </w:pPr>
      <w:r>
        <w:rPr>
          <w:sz w:val="22"/>
          <w:szCs w:val="22"/>
        </w:rPr>
        <w:t xml:space="preserve">El contenido y la supervisión de los programas de dicha formación podrán ser establecidos por la organización apropiada de empleadores o de trabajadores interesada.</w:t>
      </w:r>
    </w:p>
    <w:p>
      <w:pPr>
        <w:spacing w:after="120"/>
        <w:jc w:val="both"/>
      </w:pPr>
      <w:r>
        <w:rPr>
          <w:sz w:val="22"/>
          <w:szCs w:val="22"/>
        </w:rPr>
        <w:t xml:space="preserve">La formación a impartirse no obstará el derecho de las organizaciones de empleadores y de trabajadores de designar a sus propios representantes a los fines de la negociación colectiva.</w:t>
      </w:r>
    </w:p>
    <w:p>
      <w:pPr>
        <w:pStyle w:val="Heading4"/>
      </w:pPr>
      <w:r>
        <w:t xml:space="preserve">II - CONSEJO SUPERIOR TRIPARTITO</w:t>
      </w:r>
    </w:p>
    <w:p>
      <w:pPr>
        <w:pStyle w:val="Articulo"/>
        <w:keepNext/>
        <w:spacing w:after="120" w:before="280"/>
      </w:pPr>
      <w:r>
        <w:rPr>
          <w:rFonts w:ascii="Arial" w:cs="Arial" w:eastAsia="Arial" w:hAnsi="Arial"/>
          <w:b/>
          <w:bCs/>
          <w:color w:val="14213D"/>
          <w:sz w:val="22"/>
          <w:szCs w:val="22"/>
        </w:rPr>
        <w:t xml:space="preserve">Artículo 7</w:t>
      </w:r>
      <w:r>
        <w:rPr>
          <w:rFonts w:ascii="Arial" w:cs="Arial" w:eastAsia="Arial" w:hAnsi="Arial"/>
          <w:color w:val="555555"/>
          <w:sz w:val="22"/>
          <w:szCs w:val="22"/>
        </w:rPr>
        <w:t xml:space="preserve"> · Creación del Consejo Superior Tripartito</w:t>
      </w:r>
    </w:p>
    <w:p>
      <w:pPr>
        <w:spacing w:after="120"/>
        <w:jc w:val="both"/>
      </w:pPr>
      <w:r>
        <w:rPr>
          <w:sz w:val="22"/>
          <w:szCs w:val="22"/>
        </w:rPr>
        <w:t xml:space="preserve">(Creación del Consejo Superior Tripartito).- Créase el Consejo Superior Tripartito como órgano de coordinación y gobernanza de las relaciones laborales, el que reglamentará su funcionamiento interno.</w:t>
      </w:r>
    </w:p>
    <w:p>
      <w:pPr>
        <w:pStyle w:val="Articulo"/>
        <w:keepNext/>
        <w:spacing w:after="120" w:before="280"/>
      </w:pPr>
      <w:r>
        <w:rPr>
          <w:rFonts w:ascii="Arial" w:cs="Arial" w:eastAsia="Arial" w:hAnsi="Arial"/>
          <w:b/>
          <w:bCs/>
          <w:color w:val="14213D"/>
          <w:sz w:val="22"/>
          <w:szCs w:val="22"/>
        </w:rPr>
        <w:t xml:space="preserve">Artículo 8</w:t>
      </w:r>
      <w:r>
        <w:rPr>
          <w:rFonts w:ascii="Arial" w:cs="Arial" w:eastAsia="Arial" w:hAnsi="Arial"/>
          <w:color w:val="555555"/>
          <w:sz w:val="22"/>
          <w:szCs w:val="22"/>
        </w:rPr>
        <w:t xml:space="preserve"> · Integración</w:t>
      </w:r>
    </w:p>
    <w:p>
      <w:pPr>
        <w:spacing w:after="120"/>
        <w:jc w:val="both"/>
      </w:pPr>
      <w:r>
        <w:rPr>
          <w:sz w:val="22"/>
          <w:szCs w:val="22"/>
        </w:rPr>
        <w:t xml:space="preserve">(Integración).- El Consejo Superior Tripartito estará integrado por seis delegados del Poder Ejecutivo, seis delegados de las organizaciones más representativas de empleadores y seis delegados de las organizaciones más representativas de trabajadores, más un igual número de suplentes o alternos de cada parte.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w:t>
      </w:r>
      <w:hyperlink w:history="1" r:id="rIdjw3dwx7pc_0-cywfeik1b">
        <w:r>
          <w:rPr>
            <w:rStyle w:val="Hyperlink"/>
            <w:rFonts w:ascii="Arial" w:cs="Arial" w:eastAsia="Arial" w:hAnsi="Arial"/>
            <w:sz w:val="17"/>
            <w:szCs w:val="17"/>
          </w:rPr>
          <w:t xml:space="preserve">1</w:t>
        </w:r>
      </w:hyperlink>
      <w:r>
        <w:rPr>
          <w:rFonts w:ascii="Arial" w:cs="Arial" w:eastAsia="Arial" w:hAnsi="Arial"/>
          <w:color w:val="555555"/>
          <w:sz w:val="17"/>
          <w:szCs w:val="17"/>
        </w:rPr>
        <w:t xml:space="preserve">9.027 de 18/12/2012 artículo 1.</w:t>
      </w:r>
    </w:p>
    <w:p>
      <w:pPr>
        <w:shd w:fill="F4F5F8" w:val="clear"/>
        <w:spacing w:after="60"/>
        <w:ind w:left="360"/>
      </w:pPr>
      <w:r>
        <w:rPr>
          <w:rFonts w:ascii="Arial" w:cs="Arial" w:eastAsia="Arial" w:hAnsi="Arial"/>
          <w:color w:val="555555"/>
          <w:sz w:val="17"/>
          <w:szCs w:val="17"/>
        </w:rPr>
        <w:t xml:space="preserve">TEXTO ORIGINAL: Ley Nº 1</w:t>
      </w:r>
      <w:hyperlink w:history="1" r:id="rIdso5j-_4hoohvwzhlln-1p">
        <w:r>
          <w:rPr>
            <w:rStyle w:val="Hyperlink"/>
            <w:rFonts w:ascii="Arial" w:cs="Arial" w:eastAsia="Arial" w:hAnsi="Arial"/>
            <w:sz w:val="17"/>
            <w:szCs w:val="17"/>
          </w:rPr>
          <w:t xml:space="preserve">8</w:t>
        </w:r>
      </w:hyperlink>
      <w:r>
        <w:rPr>
          <w:rFonts w:ascii="Arial" w:cs="Arial" w:eastAsia="Arial" w:hAnsi="Arial"/>
          <w:color w:val="555555"/>
          <w:sz w:val="17"/>
          <w:szCs w:val="17"/>
        </w:rPr>
        <w:t xml:space="preserve">.566 de 11/09/2009 artículo 8.</w:t>
      </w:r>
    </w:p>
    <w:p>
      <w:pPr>
        <w:pStyle w:val="Articulo"/>
        <w:keepNext/>
        <w:spacing w:after="120" w:before="280"/>
      </w:pPr>
      <w:r>
        <w:rPr>
          <w:rFonts w:ascii="Arial" w:cs="Arial" w:eastAsia="Arial" w:hAnsi="Arial"/>
          <w:b/>
          <w:bCs/>
          <w:color w:val="14213D"/>
          <w:sz w:val="22"/>
          <w:szCs w:val="22"/>
        </w:rPr>
        <w:t xml:space="preserve">Artículo 9</w:t>
      </w:r>
      <w:r>
        <w:rPr>
          <w:rFonts w:ascii="Arial" w:cs="Arial" w:eastAsia="Arial" w:hAnsi="Arial"/>
          <w:color w:val="555555"/>
          <w:sz w:val="22"/>
          <w:szCs w:val="22"/>
        </w:rPr>
        <w:t xml:space="preserve"> · Funcionamiento</w:t>
      </w:r>
    </w:p>
    <w:p>
      <w:pPr>
        <w:spacing w:after="120"/>
        <w:jc w:val="both"/>
      </w:pPr>
      <w:r>
        <w:rPr>
          <w:sz w:val="22"/>
          <w:szCs w:val="22"/>
        </w:rPr>
        <w:t xml:space="preserve">(Funcionamiento).- El Consejo Superior Tripartito podrá ser convocado por el Ministerio de Trabajo y Seguridad Social de oficio o preceptivamente a propuesta de cualquiera de las partes.</w:t>
      </w:r>
    </w:p>
    <w:p>
      <w:pPr>
        <w:spacing w:after="120"/>
        <w:jc w:val="both"/>
      </w:pPr>
      <w:r>
        <w:rPr>
          <w:sz w:val="22"/>
          <w:szCs w:val="22"/>
        </w:rPr>
        <w:t xml:space="preserve">Para celebrar las sesiones se requerirá la asistencia mínima del 50% (cincuenta por ciento) de sus miembros, que contemplen la representación tripartita del órgano. En caso de no reunirse el quórum referido, se efectuará una segunda convocatoria dentro de las 48 horas para la que se requerirá el 50% (cincuenta por ciento) de los integrantes del Consejo.</w:t>
      </w:r>
    </w:p>
    <w:p>
      <w:pPr>
        <w:spacing w:after="120"/>
        <w:jc w:val="both"/>
      </w:pPr>
      <w:r>
        <w:rPr>
          <w:sz w:val="22"/>
          <w:szCs w:val="22"/>
        </w:rPr>
        <w:t xml:space="preserve">Para adoptar resolución el Consejo requerirá el voto conforme de la mayoría absoluta de sus integrantes.</w:t>
      </w:r>
    </w:p>
    <w:p>
      <w:pPr>
        <w:pStyle w:val="Articulo"/>
        <w:keepNext/>
        <w:spacing w:after="120" w:before="280"/>
      </w:pPr>
      <w:r>
        <w:rPr>
          <w:rFonts w:ascii="Arial" w:cs="Arial" w:eastAsia="Arial" w:hAnsi="Arial"/>
          <w:b/>
          <w:bCs/>
          <w:color w:val="14213D"/>
          <w:sz w:val="22"/>
          <w:szCs w:val="22"/>
        </w:rPr>
        <w:t xml:space="preserve">Artículo 10</w:t>
      </w:r>
      <w:r>
        <w:rPr>
          <w:rFonts w:ascii="Arial" w:cs="Arial" w:eastAsia="Arial" w:hAnsi="Arial"/>
          <w:color w:val="555555"/>
          <w:sz w:val="22"/>
          <w:szCs w:val="22"/>
        </w:rPr>
        <w:t xml:space="preserve"> · Competencias</w:t>
      </w:r>
    </w:p>
    <w:p>
      <w:pPr>
        <w:spacing w:after="120"/>
        <w:jc w:val="both"/>
      </w:pPr>
      <w:r>
        <w:rPr>
          <w:sz w:val="22"/>
          <w:szCs w:val="22"/>
        </w:rPr>
        <w:t xml:space="preserve">(Competencias).- Serán competencias del Consejo Superior Tripartito:</w:t>
      </w:r>
    </w:p>
    <w:p>
      <w:pPr>
        <w:spacing w:after="120"/>
        <w:ind w:left="567"/>
        <w:jc w:val="both"/>
      </w:pPr>
      <w:r>
        <w:rPr>
          <w:sz w:val="22"/>
          <w:szCs w:val="22"/>
        </w:rPr>
        <w:t xml:space="preserve">A) Expedirse en forma previa al establecimiento, aplicación y modificación del salario mínimo nacional y del que se determine para los sectores de actividad que no puedan fijarlo por procedimientos de negociación colectiva. A tales efectos, el Poder Ejecutivo deberá someter estas materias a consulta del Consejo con suficiente antelación.</w:t>
      </w:r>
    </w:p>
    <w:p>
      <w:pPr>
        <w:spacing w:after="120"/>
        <w:ind w:left="567"/>
        <w:jc w:val="both"/>
      </w:pPr>
      <w:r>
        <w:rPr>
          <w:sz w:val="22"/>
          <w:szCs w:val="22"/>
        </w:rPr>
        <w:t xml:space="preserve">B) Efectuar la clasificación de los grupos de negociación tripartita por rama de actividad o cadenas productivas, designando, en su caso, las organizaciones negociadoras en cada ámbito.</w:t>
      </w:r>
    </w:p>
    <w:p>
      <w:pPr>
        <w:spacing w:after="120"/>
        <w:ind w:left="567"/>
        <w:jc w:val="both"/>
      </w:pPr>
      <w:r>
        <w:rPr>
          <w:sz w:val="22"/>
          <w:szCs w:val="22"/>
        </w:rPr>
        <w:t xml:space="preserve">C) Asesorar preceptivamente al Poder Ejecutivo en caso de recursos administrativos dictados contra resoluciones referidas a diferencias ocasionadas por la ubicación de empresas en los grupos de actividad para la negociación tripartita.</w:t>
      </w:r>
    </w:p>
    <w:p>
      <w:pPr>
        <w:spacing w:after="120"/>
        <w:jc w:val="both"/>
      </w:pPr>
      <w:r>
        <w:rPr>
          <w:sz w:val="22"/>
          <w:szCs w:val="22"/>
        </w:rPr>
        <w:t xml:space="preserve">(*)</w:t>
      </w:r>
    </w:p>
    <w:p>
      <w:pPr>
        <w:spacing w:after="120"/>
        <w:ind w:left="567"/>
        <w:jc w:val="both"/>
      </w:pPr>
      <w:r>
        <w:rPr>
          <w:sz w:val="22"/>
          <w:szCs w:val="22"/>
        </w:rPr>
        <w:t xml:space="preserve">E) Estudiar y adoptar iniciativas en temas que considere pertinentes para el fomento de la consulta, la negociación y el desarrollo de las relaciones laborales.</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Literal D) derogado/s por: Ley Nº </w:t>
      </w:r>
      <w:hyperlink w:history="1" r:id="rId-wjdbr1gr8tmpr_nchf4b">
        <w:r>
          <w:rPr>
            <w:rStyle w:val="Hyperlink"/>
            <w:rFonts w:ascii="Arial" w:cs="Arial" w:eastAsia="Arial" w:hAnsi="Arial"/>
            <w:sz w:val="17"/>
            <w:szCs w:val="17"/>
          </w:rPr>
          <w:t xml:space="preserve">2</w:t>
        </w:r>
      </w:hyperlink>
      <w:r>
        <w:rPr>
          <w:rFonts w:ascii="Arial" w:cs="Arial" w:eastAsia="Arial" w:hAnsi="Arial"/>
          <w:color w:val="555555"/>
          <w:sz w:val="17"/>
          <w:szCs w:val="17"/>
        </w:rPr>
        <w:t xml:space="preserve">0.145 de 17/05/2023 artículo 2.</w:t>
      </w:r>
    </w:p>
    <w:p>
      <w:pPr>
        <w:shd w:fill="F4F5F8" w:val="clear"/>
        <w:spacing w:after="60"/>
        <w:ind w:left="360"/>
      </w:pPr>
      <w:r>
        <w:rPr>
          <w:rFonts w:ascii="Arial" w:cs="Arial" w:eastAsia="Arial" w:hAnsi="Arial"/>
          <w:color w:val="555555"/>
          <w:sz w:val="17"/>
          <w:szCs w:val="17"/>
        </w:rPr>
        <w:t xml:space="preserve">TEXTO ORIGINAL: Ley Nº 18.566 de 11/09/2009 artículo </w:t>
      </w:r>
      <w:hyperlink w:history="1" r:id="rIdwxdsmnpdqk0oo_xorkyiq">
        <w:r>
          <w:rPr>
            <w:rStyle w:val="Hyperlink"/>
            <w:rFonts w:ascii="Arial" w:cs="Arial" w:eastAsia="Arial" w:hAnsi="Arial"/>
            <w:sz w:val="17"/>
            <w:szCs w:val="17"/>
          </w:rPr>
          <w:t xml:space="preserve">10</w:t>
        </w:r>
      </w:hyperlink>
      <w:r>
        <w:rPr>
          <w:rFonts w:ascii="Arial" w:cs="Arial" w:eastAsia="Arial" w:hAnsi="Arial"/>
          <w:color w:val="555555"/>
          <w:sz w:val="17"/>
          <w:szCs w:val="17"/>
        </w:rPr>
        <w:t xml:space="preserve">.</w:t>
      </w:r>
    </w:p>
    <w:p>
      <w:pPr>
        <w:pStyle w:val="Heading4"/>
      </w:pPr>
      <w:r>
        <w:t xml:space="preserve">III - NEGOCIACION COLECTIVA POR SECTOR DE ACTIVIDAD</w:t>
      </w:r>
    </w:p>
    <w:p>
      <w:pPr>
        <w:pStyle w:val="Articulo"/>
        <w:keepNext/>
        <w:spacing w:after="120" w:before="280"/>
      </w:pPr>
      <w:r>
        <w:rPr>
          <w:rFonts w:ascii="Arial" w:cs="Arial" w:eastAsia="Arial" w:hAnsi="Arial"/>
          <w:b/>
          <w:bCs/>
          <w:color w:val="14213D"/>
          <w:sz w:val="22"/>
          <w:szCs w:val="22"/>
        </w:rPr>
        <w:t xml:space="preserve">Artículo 11</w:t>
      </w:r>
      <w:r>
        <w:rPr>
          <w:rFonts w:ascii="Arial" w:cs="Arial" w:eastAsia="Arial" w:hAnsi="Arial"/>
          <w:color w:val="555555"/>
          <w:sz w:val="22"/>
          <w:szCs w:val="22"/>
        </w:rPr>
        <w:t xml:space="preserve"> · Consejos de Salarios</w:t>
      </w:r>
    </w:p>
    <w:p>
      <w:pPr>
        <w:spacing w:after="120"/>
        <w:jc w:val="both"/>
      </w:pPr>
      <w:r>
        <w:rPr>
          <w:sz w:val="22"/>
          <w:szCs w:val="22"/>
        </w:rPr>
        <w:t xml:space="preserve">(Consejos de Salarios).- La negociación colectiva a nivel de rama de actividad o de cadenas productivas podrá realizarse a través de la convocatoria de los Consejos de Salarios creados por la Ley Nº 10.449, de 12 de noviembre de 1943, o por negociación colectiva bipartita.</w:t>
      </w:r>
    </w:p>
    <w:p>
      <w:pPr>
        <w:pStyle w:val="Articulo"/>
        <w:keepNext/>
        <w:spacing w:after="120" w:before="280"/>
      </w:pPr>
      <w:r>
        <w:rPr>
          <w:rFonts w:ascii="Arial" w:cs="Arial" w:eastAsia="Arial" w:hAnsi="Arial"/>
          <w:b/>
          <w:bCs/>
          <w:color w:val="14213D"/>
          <w:sz w:val="22"/>
          <w:szCs w:val="22"/>
        </w:rPr>
        <w:t xml:space="preserve">Artículo 12</w:t>
      </w:r>
    </w:p>
    <w:p>
      <w:pPr>
        <w:spacing w:after="120"/>
        <w:jc w:val="both"/>
      </w:pPr>
      <w:r>
        <w:rPr>
          <w:sz w:val="22"/>
          <w:szCs w:val="22"/>
        </w:rPr>
        <w:t xml:space="preserv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Este artículo dio nueva redacción a: Ley Nº 10.449 de 12/11/1943 artículo 
</w:t>
      </w:r>
      <w:hyperlink w:history="1" r:id="rIdmnjwnrww30oybi9jsohi6">
        <w:r>
          <w:rPr>
            <w:rStyle w:val="Hyperlink"/>
            <w:rFonts w:ascii="Arial" w:cs="Arial" w:eastAsia="Arial" w:hAnsi="Arial"/>
            <w:sz w:val="17"/>
            <w:szCs w:val="17"/>
          </w:rPr>
          <w:t xml:space="preserve">5</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13</w:t>
      </w:r>
    </w:p>
    <w:p>
      <w:pPr>
        <w:spacing w:after="120"/>
        <w:jc w:val="both"/>
      </w:pPr>
      <w:r>
        <w:rPr>
          <w:sz w:val="22"/>
          <w:szCs w:val="22"/>
        </w:rPr>
        <w:t xml:space="preserv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Este artículo dio nueva redacción a: Ley Nº 10.449 de 12/11/1943 artículo 
</w:t>
      </w:r>
      <w:hyperlink w:history="1" r:id="rIdpexsojcvrt4nxtvdxbyle">
        <w:r>
          <w:rPr>
            <w:rStyle w:val="Hyperlink"/>
            <w:rFonts w:ascii="Arial" w:cs="Arial" w:eastAsia="Arial" w:hAnsi="Arial"/>
            <w:sz w:val="17"/>
            <w:szCs w:val="17"/>
          </w:rPr>
          <w:t xml:space="preserve">6</w:t>
        </w:r>
      </w:hyperlink>
      <w:r>
        <w:rPr>
          <w:rFonts w:ascii="Arial" w:cs="Arial" w:eastAsia="Arial" w:hAnsi="Arial"/>
          <w:color w:val="555555"/>
          <w:sz w:val="17"/>
          <w:szCs w:val="17"/>
        </w:rPr>
        <w:t xml:space="preserve">.</w:t>
      </w:r>
    </w:p>
    <w:p>
      <w:pPr>
        <w:pStyle w:val="Heading3"/>
      </w:pPr>
      <w:r>
        <w:t xml:space="preserve">CAPÍTULO IV - NEGOCIACION COLECTIVA BIPARTITA</w:t>
      </w:r>
    </w:p>
    <w:p>
      <w:pPr>
        <w:pStyle w:val="Articulo"/>
        <w:keepNext/>
        <w:spacing w:after="120" w:before="280"/>
      </w:pPr>
      <w:r>
        <w:rPr>
          <w:rFonts w:ascii="Arial" w:cs="Arial" w:eastAsia="Arial" w:hAnsi="Arial"/>
          <w:b/>
          <w:bCs/>
          <w:color w:val="14213D"/>
          <w:sz w:val="22"/>
          <w:szCs w:val="22"/>
        </w:rPr>
        <w:t xml:space="preserve">Artículo 14</w:t>
      </w:r>
      <w:r>
        <w:rPr>
          <w:rFonts w:ascii="Arial" w:cs="Arial" w:eastAsia="Arial" w:hAnsi="Arial"/>
          <w:color w:val="555555"/>
          <w:sz w:val="22"/>
          <w:szCs w:val="22"/>
        </w:rPr>
        <w:t xml:space="preserve"> · Sujetos</w:t>
      </w:r>
    </w:p>
    <w:p>
      <w:pPr>
        <w:spacing w:after="120"/>
        <w:jc w:val="both"/>
      </w:pPr>
      <w:r>
        <w:rPr>
          <w:sz w:val="22"/>
          <w:szCs w:val="22"/>
        </w:rPr>
        <w:t xml:space="preserve">(Sujetos).- Son sujetos legitimados para negociar y celebrar convenios colectivos un empleador, un grupo de empleadores, una organización o varias organizaciones representativas de empleadores, por una parte, y una o varias organizaciones representativas de los trabajadores, por otra. Cuando exista más de una organización que se atribuya la legitimidad para negociar y no medie acuerdo entre ellas, la legitimación para negociar se reconoce a la organización más representativa, en atención a los criterios de antigüedad, continuidad, independencia y número de afiliados de la organización. (*)</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Redacción dada por: Ley Nº 20.145 de 17/05/202</w:t>
      </w:r>
      <w:hyperlink w:history="1" r:id="rIdfetngvn2ekjax8a_scmng">
        <w:r>
          <w:rPr>
            <w:rStyle w:val="Hyperlink"/>
            <w:rFonts w:ascii="Arial" w:cs="Arial" w:eastAsia="Arial" w:hAnsi="Arial"/>
            <w:sz w:val="17"/>
            <w:szCs w:val="17"/>
          </w:rPr>
          <w:t xml:space="preserve">3</w:t>
        </w:r>
      </w:hyperlink>
      <w:r>
        <w:rPr>
          <w:rFonts w:ascii="Arial" w:cs="Arial" w:eastAsia="Arial" w:hAnsi="Arial"/>
          <w:color w:val="555555"/>
          <w:sz w:val="17"/>
          <w:szCs w:val="17"/>
        </w:rPr>
        <w:t xml:space="preserve"> artículo 3.</w:t>
      </w:r>
    </w:p>
    <w:p>
      <w:pPr>
        <w:shd w:fill="F4F5F8" w:val="clear"/>
        <w:spacing w:after="60"/>
        <w:ind w:left="360"/>
      </w:pPr>
      <w:r>
        <w:rPr>
          <w:rFonts w:ascii="Arial" w:cs="Arial" w:eastAsia="Arial" w:hAnsi="Arial"/>
          <w:color w:val="555555"/>
          <w:sz w:val="17"/>
          <w:szCs w:val="17"/>
        </w:rPr>
        <w:t xml:space="preserve">TEXTO ORIGINAL: Ley Nº 18.566 de 11/09/2009 artículo </w:t>
      </w:r>
      <w:hyperlink w:history="1" r:id="rIdjvpr6tug8u3vyqpf65uyc">
        <w:r>
          <w:rPr>
            <w:rStyle w:val="Hyperlink"/>
            <w:rFonts w:ascii="Arial" w:cs="Arial" w:eastAsia="Arial" w:hAnsi="Arial"/>
            <w:sz w:val="17"/>
            <w:szCs w:val="17"/>
          </w:rPr>
          <w:t xml:space="preserve">14</w:t>
        </w:r>
      </w:hyperlink>
      <w:r>
        <w:rPr>
          <w:rFonts w:ascii="Arial" w:cs="Arial" w:eastAsia="Arial" w:hAnsi="Arial"/>
          <w:color w:val="555555"/>
          <w:sz w:val="17"/>
          <w:szCs w:val="17"/>
        </w:rPr>
        <w:t xml:space="preserve">.</w:t>
      </w:r>
    </w:p>
    <w:p>
      <w:pPr>
        <w:pStyle w:val="Articulo"/>
        <w:keepNext/>
        <w:spacing w:after="120" w:before="280"/>
      </w:pPr>
      <w:r>
        <w:rPr>
          <w:rFonts w:ascii="Arial" w:cs="Arial" w:eastAsia="Arial" w:hAnsi="Arial"/>
          <w:b/>
          <w:bCs/>
          <w:color w:val="14213D"/>
          <w:sz w:val="22"/>
          <w:szCs w:val="22"/>
        </w:rPr>
        <w:t xml:space="preserve">Artículo 15</w:t>
      </w:r>
      <w:r>
        <w:rPr>
          <w:rFonts w:ascii="Arial" w:cs="Arial" w:eastAsia="Arial" w:hAnsi="Arial"/>
          <w:color w:val="555555"/>
          <w:sz w:val="22"/>
          <w:szCs w:val="22"/>
        </w:rPr>
        <w:t xml:space="preserve"> · Niveles y articulación</w:t>
      </w:r>
    </w:p>
    <w:p>
      <w:pPr>
        <w:spacing w:after="120"/>
        <w:jc w:val="both"/>
      </w:pPr>
      <w:r>
        <w:rPr>
          <w:sz w:val="22"/>
          <w:szCs w:val="22"/>
        </w:rPr>
        <w:t xml:space="preserve">(Niveles y articulación).- Las partes podrán negociar por rama o sector de actividad, empresa, establecimiento o cualquier otro nivel que estimen oportuno. La negociación en los niveles inferiores no podrá disminuir los mínimos adoptados en los convenios colectivos de nivel superior, salvo lo dispuesto en el Consejo de Salarios respectivo.</w:t>
      </w:r>
    </w:p>
    <w:p>
      <w:pPr>
        <w:pStyle w:val="Articulo"/>
        <w:keepNext/>
        <w:spacing w:after="120" w:before="280"/>
      </w:pPr>
      <w:r>
        <w:rPr>
          <w:rFonts w:ascii="Arial" w:cs="Arial" w:eastAsia="Arial" w:hAnsi="Arial"/>
          <w:b/>
          <w:bCs/>
          <w:color w:val="14213D"/>
          <w:sz w:val="22"/>
          <w:szCs w:val="22"/>
        </w:rPr>
        <w:t xml:space="preserve">Artículo 16</w:t>
      </w:r>
      <w:r>
        <w:rPr>
          <w:rFonts w:ascii="Arial" w:cs="Arial" w:eastAsia="Arial" w:hAnsi="Arial"/>
          <w:color w:val="555555"/>
          <w:sz w:val="22"/>
          <w:szCs w:val="22"/>
        </w:rPr>
        <w:t xml:space="preserve"> · Efectos del convenio colectivo</w:t>
      </w:r>
    </w:p>
    <w:p>
      <w:pPr>
        <w:spacing w:after="120"/>
        <w:jc w:val="both"/>
      </w:pPr>
      <w:r>
        <w:rPr>
          <w:sz w:val="22"/>
          <w:szCs w:val="22"/>
        </w:rPr>
        <w:t xml:space="preserve">(Efectos del convenio colectivo).- Los convenios colectivos no podrán ser modificados por contrato individual o acuerdos plurisubjetivos en perjuicio de los trabajadores. El convenio colectivo por sector de actividad celebrado por las organizaciones más representativas es de aplicación obligatoria para todos los empleadores y trabajadores del nivel de negociación respectivo, una vez que sea registrado y publicado por el Poder Ejecutivo.</w:t>
      </w:r>
    </w:p>
    <w:p>
      <w:pPr>
        <w:pStyle w:val="Articulo"/>
        <w:keepNext/>
        <w:spacing w:after="120" w:before="280"/>
      </w:pPr>
      <w:r>
        <w:rPr>
          <w:rFonts w:ascii="Arial" w:cs="Arial" w:eastAsia="Arial" w:hAnsi="Arial"/>
          <w:b/>
          <w:bCs/>
          <w:color w:val="14213D"/>
          <w:sz w:val="22"/>
          <w:szCs w:val="22"/>
        </w:rPr>
        <w:t xml:space="preserve">Artículo 17</w:t>
      </w:r>
      <w:r>
        <w:rPr>
          <w:rFonts w:ascii="Arial" w:cs="Arial" w:eastAsia="Arial" w:hAnsi="Arial"/>
          <w:color w:val="555555"/>
          <w:sz w:val="22"/>
          <w:szCs w:val="22"/>
        </w:rPr>
        <w:t xml:space="preserve"> · Vigencia</w:t>
      </w:r>
    </w:p>
    <w:p>
      <w:pPr>
        <w:spacing w:after="120"/>
        <w:jc w:val="both"/>
      </w:pPr>
      <w:r>
        <w:rPr>
          <w:sz w:val="22"/>
          <w:szCs w:val="22"/>
        </w:rPr>
        <w:t xml:space="preserve">(Vigencia).- La vigencia de los convenios colectivos será establecida por las partes de común acuerdo, quienes también podrán determinar su prórroga expresa o tácita y el procedimiento de denuncia.</w:t>
      </w:r>
    </w:p>
    <w:p>
      <w:pPr>
        <w:spacing w:after="120"/>
        <w:jc w:val="both"/>
      </w:pPr>
      <w:r>
        <w:rPr>
          <w:sz w:val="22"/>
          <w:szCs w:val="22"/>
        </w:rPr>
        <w:t xml:space="preserve">(*)</w:t>
      </w:r>
    </w:p>
    <w:p>
      <w:pPr>
        <w:spacing w:after="40" w:before="60"/>
        <w:ind w:left="360"/>
      </w:pPr>
      <w:r>
        <w:rPr>
          <w:rFonts w:ascii="Arial" w:cs="Arial" w:eastAsia="Arial" w:hAnsi="Arial"/>
          <w:b/>
          <w:bCs/>
          <w:color w:val="555555"/>
          <w:sz w:val="17"/>
          <w:szCs w:val="17"/>
        </w:rPr>
        <w:t xml:space="preserve">Notas</w:t>
      </w:r>
    </w:p>
    <w:p>
      <w:pPr>
        <w:shd w:fill="F4F5F8" w:val="clear"/>
        <w:spacing w:after="60"/>
        <w:ind w:left="360"/>
      </w:pPr>
      <w:r>
        <w:rPr>
          <w:rFonts w:ascii="Arial" w:cs="Arial" w:eastAsia="Arial" w:hAnsi="Arial"/>
          <w:color w:val="555555"/>
          <w:sz w:val="17"/>
          <w:szCs w:val="17"/>
        </w:rPr>
        <w:t xml:space="preserve">Inciso 2º) derogado/s por: Ley Nº 20.1</w:t>
      </w:r>
      <w:hyperlink w:history="1" r:id="rIdzuwj6sdi_c9cww4wdpyuq">
        <w:r>
          <w:rPr>
            <w:rStyle w:val="Hyperlink"/>
            <w:rFonts w:ascii="Arial" w:cs="Arial" w:eastAsia="Arial" w:hAnsi="Arial"/>
            <w:sz w:val="17"/>
            <w:szCs w:val="17"/>
          </w:rPr>
          <w:t xml:space="preserve">4</w:t>
        </w:r>
      </w:hyperlink>
      <w:r>
        <w:rPr>
          <w:rFonts w:ascii="Arial" w:cs="Arial" w:eastAsia="Arial" w:hAnsi="Arial"/>
          <w:color w:val="555555"/>
          <w:sz w:val="17"/>
          <w:szCs w:val="17"/>
        </w:rPr>
        <w:t xml:space="preserve">5 de 17/05/2023 artículo 4.</w:t>
      </w:r>
    </w:p>
    <w:p>
      <w:pPr>
        <w:shd w:fill="F4F5F8" w:val="clear"/>
        <w:spacing w:after="60"/>
        <w:ind w:left="360"/>
      </w:pPr>
      <w:r>
        <w:rPr>
          <w:rFonts w:ascii="Arial" w:cs="Arial" w:eastAsia="Arial" w:hAnsi="Arial"/>
          <w:color w:val="555555"/>
          <w:sz w:val="17"/>
          <w:szCs w:val="17"/>
        </w:rPr>
        <w:t xml:space="preserve">TEXTO ORIGINAL: Ley Nº 18.566 de 11/09/2009 artículo </w:t>
      </w:r>
      <w:hyperlink w:history="1" r:id="rId5v8gzwu5oapndgx0vfoyt">
        <w:r>
          <w:rPr>
            <w:rStyle w:val="Hyperlink"/>
            <w:rFonts w:ascii="Arial" w:cs="Arial" w:eastAsia="Arial" w:hAnsi="Arial"/>
            <w:sz w:val="17"/>
            <w:szCs w:val="17"/>
          </w:rPr>
          <w:t xml:space="preserve">17</w:t>
        </w:r>
      </w:hyperlink>
      <w:r>
        <w:rPr>
          <w:rFonts w:ascii="Arial" w:cs="Arial" w:eastAsia="Arial" w:hAnsi="Arial"/>
          <w:color w:val="555555"/>
          <w:sz w:val="17"/>
          <w:szCs w:val="17"/>
        </w:rPr>
        <w:t xml:space="preserve">.</w:t>
      </w:r>
    </w:p>
    <w:p>
      <w:pPr>
        <w:pStyle w:val="Heading3"/>
      </w:pPr>
      <w:r>
        <w:t xml:space="preserve">CAPÍTULO V - PREVENCION Y SOLUCION DE CONFLICTOS</w:t>
      </w:r>
    </w:p>
    <w:p>
      <w:pPr>
        <w:pStyle w:val="Articulo"/>
        <w:keepNext/>
        <w:spacing w:after="120" w:before="280"/>
      </w:pPr>
      <w:r>
        <w:rPr>
          <w:rFonts w:ascii="Arial" w:cs="Arial" w:eastAsia="Arial" w:hAnsi="Arial"/>
          <w:b/>
          <w:bCs/>
          <w:color w:val="14213D"/>
          <w:sz w:val="22"/>
          <w:szCs w:val="22"/>
        </w:rPr>
        <w:t xml:space="preserve">Artículo 18</w:t>
      </w:r>
    </w:p>
    <w:p>
      <w:pPr>
        <w:spacing w:after="120"/>
        <w:jc w:val="both"/>
      </w:pPr>
      <w:r>
        <w:rPr>
          <w:sz w:val="22"/>
          <w:szCs w:val="22"/>
        </w:rPr>
        <w:t xml:space="preserve">El Ministerio de Trabajo y Seguridad Social tendrá competencias en materia de mediación y conciliación en caso de conflictos colectivos de trabajo.</w:t>
      </w:r>
    </w:p>
    <w:p>
      <w:pPr>
        <w:pStyle w:val="Articulo"/>
        <w:keepNext/>
        <w:spacing w:after="120" w:before="280"/>
      </w:pPr>
      <w:r>
        <w:rPr>
          <w:rFonts w:ascii="Arial" w:cs="Arial" w:eastAsia="Arial" w:hAnsi="Arial"/>
          <w:b/>
          <w:bCs/>
          <w:color w:val="14213D"/>
          <w:sz w:val="22"/>
          <w:szCs w:val="22"/>
        </w:rPr>
        <w:t xml:space="preserve">Artículo 19</w:t>
      </w:r>
      <w:r>
        <w:rPr>
          <w:rFonts w:ascii="Arial" w:cs="Arial" w:eastAsia="Arial" w:hAnsi="Arial"/>
          <w:color w:val="555555"/>
          <w:sz w:val="22"/>
          <w:szCs w:val="22"/>
        </w:rPr>
        <w:t xml:space="preserve"> · Procedimientos autónomos</w:t>
      </w:r>
    </w:p>
    <w:p>
      <w:pPr>
        <w:spacing w:after="120"/>
        <w:jc w:val="both"/>
      </w:pPr>
      <w:r>
        <w:rPr>
          <w:sz w:val="22"/>
          <w:szCs w:val="22"/>
        </w:rPr>
        <w:t xml:space="preserve">(Procedimientos autónomos).- Los empleadores o sus organizaciones y las organizaciones sindicales podrán establecer, a través de la autonomía colectiva, mecanismos de prevención y solución de conflictos, incluidos procedimientos de información y consulta así como instancias de negociación, conciliación previa y arbitraje voluntario.</w:t>
      </w:r>
    </w:p>
    <w:p>
      <w:pPr>
        <w:spacing w:after="120"/>
        <w:jc w:val="both"/>
      </w:pPr>
      <w:r>
        <w:rPr>
          <w:sz w:val="22"/>
          <w:szCs w:val="22"/>
        </w:rPr>
        <w:t xml:space="preserve">El Ministerio de Trabajo y Seguridad Social, a través de la Dirección Nacional de Trabajo, brindará asesoramiento y asistencia técnica a las partes, con el objeto de fomentar y promover los procedimientos mencionados en el inciso anterior.</w:t>
      </w:r>
    </w:p>
    <w:p>
      <w:pPr>
        <w:pStyle w:val="Articulo"/>
        <w:keepNext/>
        <w:spacing w:after="120" w:before="280"/>
      </w:pPr>
      <w:r>
        <w:rPr>
          <w:rFonts w:ascii="Arial" w:cs="Arial" w:eastAsia="Arial" w:hAnsi="Arial"/>
          <w:b/>
          <w:bCs/>
          <w:color w:val="14213D"/>
          <w:sz w:val="22"/>
          <w:szCs w:val="22"/>
        </w:rPr>
        <w:t xml:space="preserve">Artículo 20</w:t>
      </w:r>
      <w:r>
        <w:rPr>
          <w:rFonts w:ascii="Arial" w:cs="Arial" w:eastAsia="Arial" w:hAnsi="Arial"/>
          <w:color w:val="555555"/>
          <w:sz w:val="22"/>
          <w:szCs w:val="22"/>
        </w:rPr>
        <w:t xml:space="preserve"> · Mediación y conciliación voluntaria</w:t>
      </w:r>
    </w:p>
    <w:p>
      <w:pPr>
        <w:spacing w:after="120"/>
        <w:jc w:val="both"/>
      </w:pPr>
      <w:r>
        <w:rPr>
          <w:sz w:val="22"/>
          <w:szCs w:val="22"/>
        </w:rPr>
        <w:t xml:space="preserve">(Mediación y conciliación voluntaria).- Los empleadores y sus organizaciones y las organizaciones de trabajadores podrán recurrir, en cualquier momento y si así lo estimaren conveniente, a la mediación o conciliación de la Dirección Nacional de Trabajo o del Consejo de Salarios con jurisdicción en la actividad a la cual pertenece la empresa (artículo 20 de la Ley Nº 10.449, de 12 de noviembre de 1943).</w:t>
      </w:r>
    </w:p>
    <w:p>
      <w:pPr>
        <w:spacing w:after="120"/>
        <w:jc w:val="both"/>
      </w:pPr>
      <w:r>
        <w:rPr>
          <w:sz w:val="22"/>
          <w:szCs w:val="22"/>
        </w:rPr>
        <w:t xml:space="preserve">Cuando las partes opten por someter el diferendo al Consejo de Salarios competente, recibida la solicitud con los antecedentes correspondientes, éste deberá ser citado de inmediato a fin de tentar la conciliación entre las partes involucradas.</w:t>
      </w:r>
    </w:p>
    <w:p>
      <w:pPr>
        <w:spacing w:after="120"/>
        <w:jc w:val="both"/>
      </w:pPr>
      <w:r>
        <w:rPr>
          <w:sz w:val="22"/>
          <w:szCs w:val="22"/>
        </w:rPr>
        <w:t xml:space="preserve">Si transcurrido un plazo prudencial se entendiere, a juicio de la mayoría de los delegados en el Consejo de Salarios, que no es posible arribar a un acuerdo conciliatorio, se dará cuenta a la Dirección Nacional de Trabajo a los efectos pertinentes.</w:t>
      </w:r>
    </w:p>
    <w:p>
      <w:pPr>
        <w:pStyle w:val="Heading3"/>
      </w:pPr>
      <w:r>
        <w:t xml:space="preserve">CAPÍTULO VI</w:t>
      </w:r>
    </w:p>
    <w:p>
      <w:pPr>
        <w:pStyle w:val="Articulo"/>
        <w:keepNext/>
        <w:spacing w:after="120" w:before="280"/>
      </w:pPr>
      <w:r>
        <w:rPr>
          <w:rFonts w:ascii="Arial" w:cs="Arial" w:eastAsia="Arial" w:hAnsi="Arial"/>
          <w:b/>
          <w:bCs/>
          <w:color w:val="14213D"/>
          <w:sz w:val="22"/>
          <w:szCs w:val="22"/>
        </w:rPr>
        <w:t xml:space="preserve">Artículo 21</w:t>
      </w:r>
    </w:p>
    <w:p>
      <w:pPr>
        <w:spacing w:after="120"/>
        <w:jc w:val="both"/>
      </w:pPr>
      <w:r>
        <w:rPr>
          <w:sz w:val="22"/>
          <w:szCs w:val="22"/>
        </w:rPr>
        <w:t xml:space="preserve">Durante la vigencia de los convenios que se celebren, las partes se obligan a no promover acciones que contradigan lo pactado ni aplicar medidas de fuerza de ningún tipo por este motivo. Esta cláusula es de aplicación a todos los temas que integraron la negociación y que hayan sido acordados en el convenio suscrito.</w:t>
      </w:r>
    </w:p>
    <w:p>
      <w:pPr>
        <w:spacing w:after="120"/>
        <w:jc w:val="both"/>
      </w:pPr>
      <w:r>
        <w:rPr>
          <w:sz w:val="22"/>
          <w:szCs w:val="22"/>
        </w:rPr>
        <w:t xml:space="preserve">Queda excluida de su alcance la adhesión a medidas sindicales de carácter nacional convocadas por las organizaciones sindicales.</w:t>
      </w:r>
    </w:p>
    <w:p>
      <w:pPr>
        <w:spacing w:after="120"/>
        <w:jc w:val="both"/>
      </w:pPr>
      <w:r>
        <w:rPr>
          <w:sz w:val="22"/>
          <w:szCs w:val="22"/>
        </w:rPr>
        <w:t xml:space="preserve">Para resolver las controversias en la interpretación del convenio deberán establecerse en el mismo procedimientos que procuren agotar todas las instancias de negociación directa entre las partes, y luego con la intervención de la autoridad ministerial competente, para evitar el conflicto y las acciones y efectos generados por éste.</w:t>
      </w:r>
    </w:p>
    <w:p>
      <w:pPr>
        <w:spacing w:after="120"/>
        <w:jc w:val="both"/>
      </w:pPr>
      <w:r>
        <w:rPr>
          <w:sz w:val="22"/>
          <w:szCs w:val="22"/>
        </w:rPr>
        <w:t xml:space="preserve">El incumplimiento de lo dispuesto en el inciso primero del presente artículo, a falta de un procedimiento fijado por las partes, puede dar lugar a la declaración de la rescisión del convenio, la que deberá promoverse ante la justicia laboral.</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6"/>
        <w:szCs w:val="16"/>
      </w:rPr>
      <w:t xml:space="preserve">Sistema de negociación colectiva del sector privado · texto vigente al 13/09/2026 · www.textovigente.com · página </w:t>
    </w:r>
    <w:r>
      <w:rPr>
        <w:rFonts w:ascii="Arial" w:cs="Arial" w:eastAsia="Arial" w:hAnsi="Arial"/>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pPr>
      <w:spacing w:after="200"/>
    </w:pPr>
    <w:rPr>
      <w:rFonts w:ascii="Arial" w:cs="Arial" w:eastAsia="Arial" w:hAnsi="Arial"/>
      <w:b/>
      <w:bCs/>
      <w:color w:val="14213D"/>
      <w:sz w:val="48"/>
      <w:szCs w:val="48"/>
    </w:rPr>
  </w:style>
  <w:style w:type="paragraph" w:styleId="Heading1">
    <w:name w:val="Heading 1"/>
    <w:basedOn w:val="Normal"/>
    <w:next w:val="Normal"/>
    <w:qFormat/>
    <w:pPr>
      <w:spacing w:after="200" w:before="480"/>
    </w:pPr>
    <w:rPr>
      <w:rFonts w:ascii="Arial" w:cs="Arial" w:eastAsia="Arial" w:hAnsi="Arial"/>
      <w:b/>
      <w:bCs/>
      <w:color w:val="14213D"/>
      <w:sz w:val="30"/>
      <w:szCs w:val="30"/>
    </w:rPr>
  </w:style>
  <w:style w:type="paragraph" w:styleId="Heading2">
    <w:name w:val="Heading 2"/>
    <w:basedOn w:val="Normal"/>
    <w:next w:val="Normal"/>
    <w:qFormat/>
    <w:pPr>
      <w:spacing w:after="160" w:before="360"/>
    </w:pPr>
    <w:rPr>
      <w:rFonts w:ascii="Arial" w:cs="Arial" w:eastAsia="Arial" w:hAnsi="Arial"/>
      <w:b/>
      <w:bCs/>
      <w:color w:val="14213D"/>
      <w:sz w:val="26"/>
      <w:szCs w:val="26"/>
    </w:rPr>
  </w:style>
  <w:style w:type="paragraph" w:styleId="Heading3">
    <w:name w:val="Heading 3"/>
    <w:basedOn w:val="Normal"/>
    <w:next w:val="Normal"/>
    <w:qFormat/>
    <w:pPr>
      <w:spacing w:after="120" w:before="280"/>
    </w:pPr>
    <w:rPr>
      <w:rFonts w:ascii="Arial" w:cs="Arial" w:eastAsia="Arial" w:hAnsi="Arial"/>
      <w:b/>
      <w:bCs/>
      <w:color w:val="14213D"/>
      <w:sz w:val="24"/>
      <w:szCs w:val="24"/>
    </w:rPr>
  </w:style>
  <w:style w:type="paragraph" w:styleId="Heading4">
    <w:name w:val="Heading 4"/>
    <w:basedOn w:val="Normal"/>
    <w:next w:val="Normal"/>
    <w:qFormat/>
    <w:pPr>
      <w:spacing w:after="120" w:before="240"/>
    </w:pPr>
    <w:rPr>
      <w:rFonts w:ascii="Arial" w:cs="Arial" w:eastAsia="Arial" w:hAnsi="Arial"/>
      <w:b/>
      <w:bCs/>
      <w:color w:val="555555"/>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Articulo">
    <w:name w:val="Artículo"/>
    <w:basedOn w:val="Normal"/>
    <w:next w:val="Normal"/>
    <w:qFormat/>
    <w:pPr>
      <w:keepNext/>
    </w:pPr>
    <w:rPr>
      <w:rFonts w:ascii="Arial" w:cs="Arial" w:eastAsia="Arial" w:hAnsi="Arial"/>
      <w:b/>
      <w:bCs/>
      <w:color w:val="14213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x_qxwia_ahphc5rcvskh6" Type="http://schemas.openxmlformats.org/officeDocument/2006/relationships/hyperlink" Target="https://www.impo.com.uy/bases/leyes/20145-2023/1" TargetMode="External"/><Relationship Id="rIdjw3dwx7pc_0-cywfeik1b" Type="http://schemas.openxmlformats.org/officeDocument/2006/relationships/hyperlink" Target="https://www.impo.com.uy/bases/leyes/19027-2012/1" TargetMode="External"/><Relationship Id="rIdso5j-_4hoohvwzhlln-1p" Type="http://schemas.openxmlformats.org/officeDocument/2006/relationships/hyperlink" Target="https://www.impo.com.uy/bases/leyes-originales/18566-2009/8" TargetMode="External"/><Relationship Id="rId-wjdbr1gr8tmpr_nchf4b" Type="http://schemas.openxmlformats.org/officeDocument/2006/relationships/hyperlink" Target="https://www.impo.com.uy/bases/leyes/20145-2023/2" TargetMode="External"/><Relationship Id="rIdwxdsmnpdqk0oo_xorkyiq" Type="http://schemas.openxmlformats.org/officeDocument/2006/relationships/hyperlink" Target="https://www.impo.com.uy/bases/leyes-originales/18566-2009/10" TargetMode="External"/><Relationship Id="rIdmnjwnrww30oybi9jsohi6" Type="http://schemas.openxmlformats.org/officeDocument/2006/relationships/hyperlink" Target="https://www.impo.com.uy/bases/leyes/10449-1943/5" TargetMode="External"/><Relationship Id="rIdpexsojcvrt4nxtvdxbyle" Type="http://schemas.openxmlformats.org/officeDocument/2006/relationships/hyperlink" Target="https://www.impo.com.uy/bases/leyes/10449-1943/6" TargetMode="External"/><Relationship Id="rIdfetngvn2ekjax8a_scmng" Type="http://schemas.openxmlformats.org/officeDocument/2006/relationships/hyperlink" Target="https://www.impo.com.uy/bases/leyes/20145-2023/3" TargetMode="External"/><Relationship Id="rIdjvpr6tug8u3vyqpf65uyc" Type="http://schemas.openxmlformats.org/officeDocument/2006/relationships/hyperlink" Target="https://www.impo.com.uy/bases/leyes-originales/18566-2009/14" TargetMode="External"/><Relationship Id="rIdzuwj6sdi_c9cww4wdpyuq" Type="http://schemas.openxmlformats.org/officeDocument/2006/relationships/hyperlink" Target="https://www.impo.com.uy/bases/leyes/20145-2023/4" TargetMode="External"/><Relationship Id="rId5v8gzwu5oapndgx0vfoyt" Type="http://schemas.openxmlformats.org/officeDocument/2006/relationships/hyperlink" Target="https://www.impo.com.uy/bases/leyes-originales/18566-2009/17" TargetMode="External"/><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de negociación colectiva del sector privado · texto consolidado vigente al 13 de septiembre de 2026</dc:title>
  <dc:subject>Ley N.º 18.566 de 2009</dc:subject>
  <dc:creator>Texto Vigente</dc:creator>
  <dc:description>Ley N.º 18.566 de 2009. Fuente: IMPO (https://www.impo.com.uy/bases/leyes/18566-2009). https://www.textovigente.com/ley-18566/</dc:description>
  <cp:lastModifiedBy>Un-named</cp:lastModifiedBy>
  <cp:revision>1</cp:revision>
  <dcterms:created xsi:type="dcterms:W3CDTF">2026-09-13T19:06:42.810Z</dcterms:created>
  <dcterms:modified xsi:type="dcterms:W3CDTF">2026-09-13T19:06:42.810Z</dcterms:modified>
</cp:coreProperties>
</file>

<file path=docProps/custom.xml><?xml version="1.0" encoding="utf-8"?>
<Properties xmlns="http://schemas.openxmlformats.org/officeDocument/2006/custom-properties" xmlns:vt="http://schemas.openxmlformats.org/officeDocument/2006/docPropsVTypes"/>
</file>