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sobre el derecho de acceso a la información pública</w:t>
      </w:r>
    </w:p>
    <w:p>
      <w:pPr>
        <w:spacing w:after="300"/>
      </w:pPr>
      <w:r>
        <w:rPr>
          <w:rFonts w:ascii="Arial" w:cs="Arial" w:eastAsia="Arial" w:hAnsi="Arial"/>
          <w:sz w:val="24"/>
          <w:szCs w:val="24"/>
        </w:rPr>
        <w:t xml:space="preserve">Ley N.º 18.381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35 artículos, 8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17 de octubre de 2008, publicada el 7 de noviembre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https://www.impo.com.uy/bases/leyes/18381-2008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https://www.textovigente.com/ley-18381/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https://www.impo.com.uy/bases/leyes/18381-2008?json=true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PRIMERO - DISPOSICIONES GENERALES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Objeto de la ley</w:t>
      </w:r>
    </w:p>
    <w:p>
      <w:pPr>
        <w:spacing w:after="120"/>
        <w:jc w:val="both"/>
      </w:pPr>
      <w:r>
        <w:rPr>
          <w:sz w:val="22"/>
          <w:szCs w:val="22"/>
        </w:rPr>
        <w:t xml:space="preserve">(Objeto de la ley).- La presente ley tiene por objeto promover la transparencia de la función administrativa de todo organismo público, sea o no estatal, y garantizar el derecho fundamental de las personas al acceso a la información pública.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Alcance</w:t>
      </w:r>
    </w:p>
    <w:p>
      <w:pPr>
        <w:spacing w:after="120"/>
        <w:jc w:val="both"/>
      </w:pPr>
      <w:r>
        <w:rPr>
          <w:sz w:val="22"/>
          <w:szCs w:val="22"/>
        </w:rPr>
        <w:t xml:space="preserve">(Alcance) .- Se considera información pública toda la que emane o esté en posesión de cualquier organismo público, sea o no estatal, salvo las excepciones o secretos establecidos por ley, así como las informaciones reservadas o confidenciales.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Derecho de acceso a la información pública</w:t>
      </w:r>
    </w:p>
    <w:p>
      <w:pPr>
        <w:spacing w:after="120"/>
        <w:jc w:val="both"/>
      </w:pPr>
      <w:r>
        <w:rPr>
          <w:sz w:val="22"/>
          <w:szCs w:val="22"/>
        </w:rPr>
        <w:t xml:space="preserve">(Derecho de acceso a la información pública) .- El acceso a la información pública es un derecho de todas las personas, sin discriminación por razón de nacionalidad o carácter del solicitante, y que se ejerce sin necesidad de justificar las razones por las que se solicita la información.</w:t>
      </w:r>
    </w:p>
    <w:p>
      <w:pPr>
        <w:pStyle w:val="Heading3"/>
      </w:pPr>
      <w:r>
        <w:t xml:space="preserve">CAPÍTULO SEGUNDO - DE LA INFORMACION PUBLICA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Información pública</w:t>
      </w:r>
    </w:p>
    <w:p>
      <w:pPr>
        <w:spacing w:after="120"/>
        <w:jc w:val="both"/>
      </w:pPr>
      <w:r>
        <w:rPr>
          <w:sz w:val="22"/>
          <w:szCs w:val="22"/>
        </w:rPr>
        <w:t xml:space="preserve">(Información pública).- Se presume pública toda información producida, obtenida, en poder o bajo control de los sujetos obligados por la presente ley, con independencia del soporte en el que estén contenidas.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Los sujetos obligados deberán prever la adecuada organización, sistematización y disponibilidad de la información en su poder, asegurando un amplio y fácil acceso a los interesados.</w:t>
      </w:r>
    </w:p>
    <w:p>
      <w:pPr>
        <w:spacing w:after="120"/>
        <w:jc w:val="both"/>
      </w:pPr>
      <w:r>
        <w:rPr>
          <w:sz w:val="22"/>
          <w:szCs w:val="22"/>
        </w:rPr>
        <w:t xml:space="preserve">Los organismos públicos, sean o no estatales, deberán difundir en forma permanente, a través de sus medios electrónicos u otros medios que el órgano de control determine, la siguiente información mínima:</w:t>
      </w:r>
    </w:p>
    <w:p>
      <w:pPr>
        <w:spacing w:after="120"/>
        <w:ind w:left="567"/>
        <w:jc w:val="both"/>
      </w:pPr>
      <w:r>
        <w:rPr>
          <w:sz w:val="22"/>
          <w:szCs w:val="22"/>
        </w:rPr>
        <w:t xml:space="preserve">A) Su estructura orgánica.</w:t>
      </w:r>
    </w:p>
    <w:p>
      <w:pPr>
        <w:spacing w:after="120"/>
        <w:ind w:left="567"/>
        <w:jc w:val="both"/>
      </w:pPr>
      <w:r>
        <w:rPr>
          <w:sz w:val="22"/>
          <w:szCs w:val="22"/>
        </w:rPr>
        <w:t xml:space="preserve">B) Las facultades de cada unidad administrativa.</w:t>
      </w:r>
    </w:p>
    <w:p>
      <w:pPr>
        <w:spacing w:after="120"/>
        <w:ind w:left="567"/>
        <w:jc w:val="both"/>
      </w:pPr>
      <w:r>
        <w:rPr>
          <w:sz w:val="22"/>
          <w:szCs w:val="22"/>
        </w:rPr>
        <w:t xml:space="preserve">C) La estructura de remuneraciones por categoría escalafonaria,</w:t>
      </w:r>
    </w:p>
    <w:p>
      <w:pPr>
        <w:spacing w:after="120"/>
        <w:jc w:val="both"/>
      </w:pPr>
      <w:r>
        <w:rPr>
          <w:sz w:val="22"/>
          <w:szCs w:val="22"/>
        </w:rPr>
        <w:t xml:space="preserve">funciones de los cargos y sistema de compensación.</w:t>
      </w:r>
    </w:p>
    <w:p>
      <w:pPr>
        <w:spacing w:after="120"/>
        <w:ind w:left="567"/>
        <w:jc w:val="both"/>
      </w:pPr>
      <w:r>
        <w:rPr>
          <w:sz w:val="22"/>
          <w:szCs w:val="22"/>
        </w:rPr>
        <w:t xml:space="preserve">D) Información sobre presupuesto asignado, su ejecución, con los</w:t>
      </w:r>
    </w:p>
    <w:p>
      <w:pPr>
        <w:spacing w:after="120"/>
        <w:jc w:val="both"/>
      </w:pPr>
      <w:r>
        <w:rPr>
          <w:sz w:val="22"/>
          <w:szCs w:val="22"/>
        </w:rPr>
        <w:t xml:space="preserve">resultados de las auditorías que en cada caso corresponda.</w:t>
      </w:r>
    </w:p>
    <w:p>
      <w:pPr>
        <w:spacing w:after="120"/>
        <w:ind w:left="567"/>
        <w:jc w:val="both"/>
      </w:pPr>
      <w:r>
        <w:rPr>
          <w:sz w:val="22"/>
          <w:szCs w:val="22"/>
        </w:rPr>
        <w:t xml:space="preserve">E) Concesiones, licitaciones, permisos o autorizaciones otorgadas,</w:t>
      </w:r>
    </w:p>
    <w:p>
      <w:pPr>
        <w:spacing w:after="120"/>
        <w:jc w:val="both"/>
      </w:pPr>
      <w:r>
        <w:rPr>
          <w:sz w:val="22"/>
          <w:szCs w:val="22"/>
        </w:rPr>
        <w:t xml:space="preserve">especificando los titulares o beneficiarios de éstos.</w:t>
      </w:r>
    </w:p>
    <w:p>
      <w:pPr>
        <w:spacing w:after="120"/>
        <w:ind w:left="567"/>
        <w:jc w:val="both"/>
      </w:pPr>
      <w:r>
        <w:rPr>
          <w:sz w:val="22"/>
          <w:szCs w:val="22"/>
        </w:rPr>
        <w:t xml:space="preserve">F) Toda información estadística de interés general, de acuerdo con los</w:t>
      </w:r>
    </w:p>
    <w:p>
      <w:pPr>
        <w:spacing w:after="120"/>
        <w:jc w:val="both"/>
      </w:pPr>
      <w:r>
        <w:rPr>
          <w:sz w:val="22"/>
          <w:szCs w:val="22"/>
        </w:rPr>
        <w:t xml:space="preserve">fines de cada organismo.</w:t>
      </w:r>
    </w:p>
    <w:p>
      <w:pPr>
        <w:spacing w:after="120"/>
        <w:ind w:left="567"/>
        <w:jc w:val="both"/>
      </w:pPr>
      <w:r>
        <w:rPr>
          <w:sz w:val="22"/>
          <w:szCs w:val="22"/>
        </w:rPr>
        <w:t xml:space="preserve">G) Mecanismos de participación ciudadana, en especial domicilio y</w:t>
      </w:r>
    </w:p>
    <w:p>
      <w:pPr>
        <w:spacing w:after="120"/>
        <w:jc w:val="both"/>
      </w:pPr>
      <w:r>
        <w:rPr>
          <w:sz w:val="22"/>
          <w:szCs w:val="22"/>
        </w:rPr>
        <w:t xml:space="preserve">unidad a la que deben dirigirse las solicitudes para obtener</w:t>
      </w:r>
    </w:p>
    <w:p>
      <w:pPr>
        <w:spacing w:after="120"/>
        <w:jc w:val="both"/>
      </w:pPr>
      <w:r>
        <w:rPr>
          <w:sz w:val="22"/>
          <w:szCs w:val="22"/>
        </w:rPr>
        <w:t xml:space="preserve">información.</w:t>
      </w:r>
    </w:p>
    <w:p>
      <w:pPr>
        <w:spacing w:after="120"/>
        <w:jc w:val="both"/>
      </w:pPr>
      <w:r>
        <w:rPr>
          <w:sz w:val="22"/>
          <w:szCs w:val="22"/>
        </w:rPr>
        <w:t xml:space="preserve">En el caso de informaciones que cuenten con una periodicidad determinada legal o reglamentariamente para su actualización, los organismos estatales o no estatales obligados por la presente ley no tendrán la obligación de producirla en forma anticipada, siempre que se encuentre publicada la información correspondiente al período vigente, y su fecha de actualización.(*)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puzy0tti7cvbp-n56g8jj">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Ver vigencia: Ley Nº 19.996 de 03/11/2021 artículo </w:t>
      </w:r>
      <w:hyperlink w:history="1" r:id="rId9y-0zg-jsbcqp6ufq_vj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18.381 de 17/10/2008 artículo </w:t>
      </w:r>
      <w:hyperlink w:history="1" r:id="rIdi39dknyi4kdykm5rsxf2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Custodia de la información</w:t>
      </w:r>
    </w:p>
    <w:p>
      <w:pPr>
        <w:spacing w:after="120"/>
        <w:jc w:val="both"/>
      </w:pPr>
      <w:r>
        <w:rPr>
          <w:sz w:val="22"/>
          <w:szCs w:val="22"/>
        </w:rPr>
        <w:t xml:space="preserve">(Custodia de la información).- Es responsabilidad de los sujetos obligados por la presente ley, crear y mantener registros de manera profesional, para que el derecho de acceso a la información pública se pueda ejercer en plenitud.</w:t>
      </w:r>
    </w:p>
    <w:p>
      <w:pPr>
        <w:spacing w:after="120"/>
        <w:jc w:val="both"/>
      </w:pPr>
      <w:r>
        <w:rPr>
          <w:sz w:val="22"/>
          <w:szCs w:val="22"/>
        </w:rPr>
        <w:t xml:space="preserve">El personal que administre, manipule, archive o conserve información pública, será responsable, solidariamente con la autoridad de la dependencia a la que pertenece dicha información, por sus acciones u omisiones, en la ocultación, alteración, pérdida o desmembración de la información pública.</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Presentación de informes</w:t>
      </w:r>
    </w:p>
    <w:p>
      <w:pPr>
        <w:spacing w:after="120"/>
        <w:jc w:val="both"/>
      </w:pPr>
      <w:r>
        <w:rPr>
          <w:sz w:val="22"/>
          <w:szCs w:val="22"/>
        </w:rPr>
        <w:t xml:space="preserve">(Presentación de informes).- Todos los sujetos obligados por la presente ley presentarán ante el órgano de control, hasta el último día hábil del mes de marzo de cada año, un informe anual sobre el cumplimiento del derecho de acceso a la información pública, que contendrá:</w:t>
      </w:r>
    </w:p>
    <w:p>
      <w:pPr>
        <w:spacing w:after="120"/>
        <w:ind w:left="567"/>
        <w:jc w:val="both"/>
      </w:pPr>
      <w:r>
        <w:rPr>
          <w:sz w:val="22"/>
          <w:szCs w:val="22"/>
        </w:rPr>
        <w:t xml:space="preserve">A) Información del período anterior sobre el cumplimiento de las</w:t>
      </w:r>
    </w:p>
    <w:p>
      <w:pPr>
        <w:spacing w:after="120"/>
        <w:jc w:val="both"/>
      </w:pPr>
      <w:r>
        <w:rPr>
          <w:sz w:val="22"/>
          <w:szCs w:val="22"/>
        </w:rPr>
        <w:t xml:space="preserve">obligaciones que le asigna esta ley.</w:t>
      </w:r>
    </w:p>
    <w:p>
      <w:pPr>
        <w:spacing w:after="120"/>
        <w:ind w:left="567"/>
        <w:jc w:val="both"/>
      </w:pPr>
      <w:r>
        <w:rPr>
          <w:sz w:val="22"/>
          <w:szCs w:val="22"/>
        </w:rPr>
        <w:t xml:space="preserve">B) Detalle de las solicitudes de acceso a la información y el trámite dado</w:t>
      </w:r>
    </w:p>
    <w:p>
      <w:pPr>
        <w:spacing w:after="120"/>
        <w:jc w:val="both"/>
      </w:pPr>
      <w:r>
        <w:rPr>
          <w:sz w:val="22"/>
          <w:szCs w:val="22"/>
        </w:rPr>
        <w:t xml:space="preserve">a cada una de ellas.</w:t>
      </w:r>
    </w:p>
    <w:p>
      <w:pPr>
        <w:spacing w:after="120"/>
        <w:jc w:val="both"/>
      </w:pPr>
      <w:r>
        <w:rPr>
          <w:sz w:val="22"/>
          <w:szCs w:val="22"/>
        </w:rPr>
        <w:t xml:space="preserve">Sin perjuicio de las disposiciones anteriores, estarán también obligados a producir un informe semestral actualizado conteniendo la lista de información reservada.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19.696 de 29/10/2018 artículo </w:t>
      </w:r>
      <w:hyperlink w:history="1" r:id="rIdr4vdg1qtzkge38zqoqlin">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(se excluye a los órganos de 
inteligencia).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Excepciones a la información pública</w:t>
      </w:r>
    </w:p>
    <w:p>
      <w:pPr>
        <w:spacing w:after="120"/>
        <w:jc w:val="both"/>
      </w:pPr>
      <w:r>
        <w:rPr>
          <w:sz w:val="22"/>
          <w:szCs w:val="22"/>
        </w:rPr>
        <w:t xml:space="preserve">(Excepciones a la información pública).- Las excepciones a la información pública serán de interpretación estricta y comprenderán aquellas definidas como secretas por la ley y las que se definan seguidamente como de carácter reservado y confidencial.</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Información reservada</w:t>
      </w:r>
    </w:p>
    <w:p>
      <w:pPr>
        <w:spacing w:after="120"/>
        <w:jc w:val="both"/>
      </w:pPr>
      <w:r>
        <w:rPr>
          <w:sz w:val="22"/>
          <w:szCs w:val="22"/>
        </w:rPr>
        <w:t xml:space="preserve">(Información reservada) .- Como información reservada podrá clasificarse aquella cuya difusión pueda:</w:t>
      </w:r>
    </w:p>
    <w:p>
      <w:pPr>
        <w:spacing w:after="120"/>
        <w:ind w:left="567"/>
        <w:jc w:val="both"/>
      </w:pPr>
      <w:r>
        <w:rPr>
          <w:sz w:val="22"/>
          <w:szCs w:val="22"/>
        </w:rPr>
        <w:t xml:space="preserve">A) Comprometer la seguridad pública o la defensa nacional.</w:t>
      </w:r>
    </w:p>
    <w:p>
      <w:pPr>
        <w:spacing w:after="120"/>
        <w:ind w:left="567"/>
        <w:jc w:val="both"/>
      </w:pPr>
      <w:r>
        <w:rPr>
          <w:sz w:val="22"/>
          <w:szCs w:val="22"/>
        </w:rPr>
        <w:t xml:space="preserve">B) Menoscabar la conducción de las negociaciones o bien, de las relaciones</w:t>
      </w:r>
    </w:p>
    <w:p>
      <w:pPr>
        <w:spacing w:after="120"/>
        <w:jc w:val="both"/>
      </w:pPr>
      <w:r>
        <w:rPr>
          <w:sz w:val="22"/>
          <w:szCs w:val="22"/>
        </w:rPr>
        <w:t xml:space="preserve">internacionales, incluida aquella información que otros estados u</w:t>
      </w:r>
    </w:p>
    <w:p>
      <w:pPr>
        <w:spacing w:after="120"/>
        <w:jc w:val="both"/>
      </w:pPr>
      <w:r>
        <w:rPr>
          <w:sz w:val="22"/>
          <w:szCs w:val="22"/>
        </w:rPr>
        <w:t xml:space="preserve">organismos internacionales entreguen con carácter de reservado al</w:t>
      </w:r>
    </w:p>
    <w:p>
      <w:pPr>
        <w:spacing w:after="120"/>
        <w:jc w:val="both"/>
      </w:pPr>
      <w:r>
        <w:rPr>
          <w:sz w:val="22"/>
          <w:szCs w:val="22"/>
        </w:rPr>
        <w:t xml:space="preserve">Estado uruguayo.</w:t>
      </w:r>
    </w:p>
    <w:p>
      <w:pPr>
        <w:spacing w:after="120"/>
        <w:ind w:left="567"/>
        <w:jc w:val="both"/>
      </w:pPr>
      <w:r>
        <w:rPr>
          <w:sz w:val="22"/>
          <w:szCs w:val="22"/>
        </w:rPr>
        <w:t xml:space="preserve">C) Dañar la estabilidad financiera, económica o monetaria del país.</w:t>
      </w:r>
    </w:p>
    <w:p>
      <w:pPr>
        <w:spacing w:after="120"/>
        <w:ind w:left="567"/>
        <w:jc w:val="both"/>
      </w:pPr>
      <w:r>
        <w:rPr>
          <w:sz w:val="22"/>
          <w:szCs w:val="22"/>
        </w:rPr>
        <w:t xml:space="preserve">D) Poner en riesgo la vida, la dignidad humana, la seguridad o la salud de</w:t>
      </w:r>
    </w:p>
    <w:p>
      <w:pPr>
        <w:spacing w:after="120"/>
        <w:jc w:val="both"/>
      </w:pPr>
      <w:r>
        <w:rPr>
          <w:sz w:val="22"/>
          <w:szCs w:val="22"/>
        </w:rPr>
        <w:t xml:space="preserve">cualquier persona.</w:t>
      </w:r>
    </w:p>
    <w:p>
      <w:pPr>
        <w:spacing w:after="120"/>
        <w:ind w:left="567"/>
        <w:jc w:val="both"/>
      </w:pPr>
      <w:r>
        <w:rPr>
          <w:sz w:val="22"/>
          <w:szCs w:val="22"/>
        </w:rPr>
        <w:t xml:space="preserve">E) Suponer una pérdida de ventajas competitivas para el sujeto obligado o</w:t>
      </w:r>
    </w:p>
    <w:p>
      <w:pPr>
        <w:spacing w:after="120"/>
        <w:jc w:val="both"/>
      </w:pPr>
      <w:r>
        <w:rPr>
          <w:sz w:val="22"/>
          <w:szCs w:val="22"/>
        </w:rPr>
        <w:t xml:space="preserve">pueda dañar su proceso de producción.</w:t>
      </w:r>
    </w:p>
    <w:p>
      <w:pPr>
        <w:spacing w:after="120"/>
        <w:ind w:left="567"/>
        <w:jc w:val="both"/>
      </w:pPr>
      <w:r>
        <w:rPr>
          <w:sz w:val="22"/>
          <w:szCs w:val="22"/>
        </w:rPr>
        <w:t xml:space="preserve">F) Desproteger descubrimientos científicos, tecnológicos o culturales</w:t>
      </w:r>
    </w:p>
    <w:p>
      <w:pPr>
        <w:spacing w:after="120"/>
        <w:jc w:val="both"/>
      </w:pPr>
      <w:r>
        <w:rPr>
          <w:sz w:val="22"/>
          <w:szCs w:val="22"/>
        </w:rPr>
        <w:t xml:space="preserve">desarrollados o en poder de los sujetos obligados.</w:t>
      </w:r>
    </w:p>
    <w:p>
      <w:pPr>
        <w:spacing w:after="120"/>
        <w:ind w:left="567"/>
        <w:jc w:val="both"/>
      </w:pPr>
      <w:r>
        <w:rPr>
          <w:sz w:val="22"/>
          <w:szCs w:val="22"/>
        </w:rPr>
        <w:t xml:space="preserve">G) Afectar la provisión libre y franca de asesoramientos, opiniones o</w:t>
      </w:r>
    </w:p>
    <w:p>
      <w:pPr>
        <w:spacing w:after="120"/>
        <w:jc w:val="both"/>
      </w:pPr>
      <w:r>
        <w:rPr>
          <w:sz w:val="22"/>
          <w:szCs w:val="22"/>
        </w:rPr>
        <w:t xml:space="preserve">recomendaciones que formen parte del proceso deliberativo de los</w:t>
      </w:r>
    </w:p>
    <w:p>
      <w:pPr>
        <w:spacing w:after="120"/>
        <w:jc w:val="both"/>
      </w:pPr>
      <w:r>
        <w:rPr>
          <w:sz w:val="22"/>
          <w:szCs w:val="22"/>
        </w:rPr>
        <w:t xml:space="preserve">sujetos obligados hasta que sea adoptada la decisión respectiva, la</w:t>
      </w:r>
    </w:p>
    <w:p>
      <w:pPr>
        <w:spacing w:after="120"/>
        <w:jc w:val="both"/>
      </w:pPr>
      <w:r>
        <w:rPr>
          <w:sz w:val="22"/>
          <w:szCs w:val="22"/>
        </w:rPr>
        <w:t xml:space="preserve">cual deberá estar documentada. (*)</w:t>
      </w:r>
    </w:p>
    <w:p>
      <w:pPr>
        <w:spacing w:after="120"/>
        <w:jc w:val="both"/>
      </w:pPr>
      <w:r>
        <w:rPr>
          <w:sz w:val="22"/>
          <w:szCs w:val="22"/>
        </w:rPr>
        <w:t xml:space="preserve">La clasificación de la información reservada deberá realizarse por el sujeto obligado en el momento en que esta se genere, obtenga o modifique, mediante resolución debidamente fundada y motivada, en la que se demuestre la existencia de elementos objetivos que permitan determinar que la divulgación de la misma genera un riesgo claro, probable y específico de daño al interés público protegido, de acuerdo con las excepciones referidas en el presente artículo. (*)</w:t>
      </w:r>
    </w:p>
    <w:p>
      <w:pPr>
        <w:spacing w:after="120"/>
        <w:jc w:val="both"/>
      </w:pPr>
      <w:r>
        <w:rPr>
          <w:sz w:val="22"/>
          <w:szCs w:val="22"/>
        </w:rPr>
        <w:t xml:space="preserve">Excepcionalmente, la información podrá clasificarse como reservada en el momento en que se reciba una solicitud de acceso a la misma. En este caso, la resolución fundada que disponga la clasificación de la información deberá remitirse en el plazo de cinco días hábiles a la Unidad de Acceso a la Información Pública, la que en ejercicio de su cometido de control, solicitará al sujeto obligado su desclasificación si la misma no se ajustare a lo dispuesto en el presente artículo. En cualquier caso, el plazo de reserva comenzará a computarse a partir de que la información pudo ser clasificada. (*)</w:t>
      </w:r>
    </w:p>
    <w:p>
      <w:pPr>
        <w:spacing w:after="120"/>
        <w:jc w:val="both"/>
      </w:pPr>
      <w:r>
        <w:rPr>
          <w:sz w:val="22"/>
          <w:szCs w:val="22"/>
        </w:rPr>
        <w:t xml:space="preserve">En todo momento, la Unidad de Acceso a la Información Pública podrá tener acceso a la información clasificada para evaluar la regularidad de su clasificación.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g) e incisos 2º), 3º) y 4º) agregado/s por: Ley Nº 19.178 de 
27/12/2013 artículo </w:t>
      </w:r>
      <w:hyperlink w:history="1" r:id="rIdh6eqc1yyd6coarbskj0h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8-zdnw7bvwtd8ztyeieuw">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y </w:t>
      </w:r>
      <w:hyperlink w:history="1" r:id="rIdb4smrxvvvnqxcnf5iv4hn">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Información confidencial</w:t>
      </w:r>
    </w:p>
    <w:p>
      <w:pPr>
        <w:spacing w:after="120"/>
        <w:jc w:val="both"/>
      </w:pPr>
      <w:r>
        <w:rPr>
          <w:sz w:val="22"/>
          <w:szCs w:val="22"/>
        </w:rPr>
        <w:t xml:space="preserve">(Información confidencial).- Se considera información confidencial:</w:t>
      </w:r>
    </w:p>
    <w:p>
      <w:pPr>
        <w:spacing w:after="120"/>
        <w:ind w:left="567"/>
        <w:jc w:val="both"/>
      </w:pPr>
      <w:r>
        <w:rPr>
          <w:sz w:val="22"/>
          <w:szCs w:val="22"/>
        </w:rPr>
        <w:t xml:space="preserve">I) Aquella entregada en tal carácter a los sujetos obligados, siempre que:</w:t>
      </w:r>
    </w:p>
    <w:p>
      <w:pPr>
        <w:spacing w:after="120"/>
        <w:ind w:left="567"/>
        <w:jc w:val="both"/>
      </w:pPr>
      <w:r>
        <w:rPr>
          <w:sz w:val="22"/>
          <w:szCs w:val="22"/>
        </w:rPr>
        <w:t xml:space="preserve">A) Refiera al patrimonio de la persona.</w:t>
      </w:r>
    </w:p>
    <w:p>
      <w:pPr>
        <w:spacing w:after="120"/>
        <w:ind w:left="567"/>
        <w:jc w:val="both"/>
      </w:pPr>
      <w:r>
        <w:rPr>
          <w:sz w:val="22"/>
          <w:szCs w:val="22"/>
        </w:rPr>
        <w:t xml:space="preserve">B) Comprenda hechos o actos de carácter económico, contable, jurídico</w:t>
      </w:r>
    </w:p>
    <w:p>
      <w:pPr>
        <w:spacing w:after="120"/>
        <w:jc w:val="both"/>
      </w:pPr>
      <w:r>
        <w:rPr>
          <w:sz w:val="22"/>
          <w:szCs w:val="22"/>
        </w:rPr>
        <w:t xml:space="preserve">o administrativo, relativos a una persona física o jurídica, que</w:t>
      </w:r>
    </w:p>
    <w:p>
      <w:pPr>
        <w:spacing w:after="120"/>
        <w:jc w:val="both"/>
      </w:pPr>
      <w:r>
        <w:rPr>
          <w:sz w:val="22"/>
          <w:szCs w:val="22"/>
        </w:rPr>
        <w:t xml:space="preserve">pudiera ser útil para un competidor.</w:t>
      </w:r>
    </w:p>
    <w:p>
      <w:pPr>
        <w:spacing w:after="120"/>
        <w:ind w:left="567"/>
        <w:jc w:val="both"/>
      </w:pPr>
      <w:r>
        <w:rPr>
          <w:sz w:val="22"/>
          <w:szCs w:val="22"/>
        </w:rPr>
        <w:t xml:space="preserve">C) Esté amparada por una cláusula contractual de confidencialidad.</w:t>
      </w:r>
    </w:p>
    <w:p>
      <w:pPr>
        <w:spacing w:after="120"/>
        <w:ind w:left="567"/>
        <w:jc w:val="both"/>
      </w:pPr>
      <w:r>
        <w:rPr>
          <w:sz w:val="22"/>
          <w:szCs w:val="22"/>
        </w:rPr>
        <w:t xml:space="preserve">II) Los datos personales que requieran previo consentimiento informado.</w:t>
      </w:r>
    </w:p>
    <w:p>
      <w:pPr>
        <w:spacing w:after="120"/>
        <w:jc w:val="both"/>
      </w:pPr>
      <w:r>
        <w:rPr>
          <w:sz w:val="22"/>
          <w:szCs w:val="22"/>
        </w:rPr>
        <w:t xml:space="preserve">Tendrán el mismo carácter los documentos o secciones de documentos que contengan estos datos.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dg2ov1ikdzh7caeofyc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Período de reserva</w:t>
      </w:r>
    </w:p>
    <w:p>
      <w:pPr>
        <w:spacing w:after="120"/>
        <w:jc w:val="both"/>
      </w:pPr>
      <w:r>
        <w:rPr>
          <w:sz w:val="22"/>
          <w:szCs w:val="22"/>
        </w:rPr>
        <w:t xml:space="preserve">(Período de reserva).- La información clasificada previamente como reservada, permanecerá con tal carácter hasta un período de quince años desde su clasificación. La información reservada será desclasificada cuando se extingan las causas que dieron lugar a su clasificación. Sólo se ampliará el período de reserva sobre cierta documentación cuando permanezcan y se justifiquen las causas que le dieron origen.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dikjuszjgy7uztdklp3b">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Inoponibilidad en casos de violaciones a los derechos humanos</w:t>
      </w:r>
    </w:p>
    <w:p>
      <w:pPr>
        <w:spacing w:after="120"/>
        <w:jc w:val="both"/>
      </w:pPr>
      <w:r>
        <w:rPr>
          <w:sz w:val="22"/>
          <w:szCs w:val="22"/>
        </w:rPr>
        <w:t xml:space="preserve">(Inoponibilidad en casos de violaciones a los derechos humanos).- Los sujetos obligados por esta ley no podrán invocar ninguna de las reservas mencionadas en los artículos que anteceden cuando la información solicitada se refiera a violaciones de derechos humanos o sea relevante para investigar, prevenir o evitar violaciones de los mismos.</w:t>
      </w:r>
    </w:p>
    <w:p>
      <w:pPr>
        <w:pStyle w:val="Heading3"/>
      </w:pPr>
      <w:r>
        <w:t xml:space="preserve">CAPÍTULO TERCERO - DEL PROCEDIMIENTO ADMINISTRATIVO PARA ACCEDER A LA INFORMACION PUBLICA</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De la solicitud y sus requisitos</w:t>
      </w:r>
    </w:p>
    <w:p>
      <w:pPr>
        <w:spacing w:after="120"/>
        <w:jc w:val="both"/>
      </w:pPr>
      <w:r>
        <w:rPr>
          <w:sz w:val="22"/>
          <w:szCs w:val="22"/>
        </w:rPr>
        <w:t xml:space="preserve">(De la solicitud y sus requisitos).- Toda persona física o jurídica interesada en acceder a la información pública en poder de los sujetos obligados por la presente ley, deberá hacerlo mediante solicitud escrita ante el titular del organismo. En dicha solicitud deberá constar:</w:t>
      </w:r>
    </w:p>
    <w:p>
      <w:pPr>
        <w:spacing w:after="120"/>
        <w:ind w:left="567"/>
        <w:jc w:val="both"/>
      </w:pPr>
      <w:r>
        <w:rPr>
          <w:sz w:val="22"/>
          <w:szCs w:val="22"/>
        </w:rPr>
        <w:t xml:space="preserve">A) La identificación del solicitante, su domicilio y forma de</w:t>
      </w:r>
    </w:p>
    <w:p>
      <w:pPr>
        <w:spacing w:after="120"/>
        <w:jc w:val="both"/>
      </w:pPr>
      <w:r>
        <w:rPr>
          <w:sz w:val="22"/>
          <w:szCs w:val="22"/>
        </w:rPr>
        <w:t xml:space="preserve">comunicación.</w:t>
      </w:r>
    </w:p>
    <w:p>
      <w:pPr>
        <w:spacing w:after="120"/>
        <w:ind w:left="567"/>
        <w:jc w:val="both"/>
      </w:pPr>
      <w:r>
        <w:rPr>
          <w:sz w:val="22"/>
          <w:szCs w:val="22"/>
        </w:rPr>
        <w:t xml:space="preserve">B) La descripción clara de la información requerida y cualquier dato que</w:t>
      </w:r>
    </w:p>
    <w:p>
      <w:pPr>
        <w:spacing w:after="120"/>
        <w:jc w:val="both"/>
      </w:pPr>
      <w:r>
        <w:rPr>
          <w:sz w:val="22"/>
          <w:szCs w:val="22"/>
        </w:rPr>
        <w:t xml:space="preserve">facilite su localización.</w:t>
      </w:r>
    </w:p>
    <w:p>
      <w:pPr>
        <w:spacing w:after="120"/>
        <w:ind w:left="567"/>
        <w:jc w:val="both"/>
      </w:pPr>
      <w:r>
        <w:rPr>
          <w:sz w:val="22"/>
          <w:szCs w:val="22"/>
        </w:rPr>
        <w:t xml:space="preserve">C) Y, opcionalmente, el soporte de información preferido, sin constituir</w:t>
      </w:r>
    </w:p>
    <w:p>
      <w:pPr>
        <w:spacing w:after="120"/>
        <w:jc w:val="both"/>
      </w:pPr>
      <w:r>
        <w:rPr>
          <w:sz w:val="22"/>
          <w:szCs w:val="22"/>
        </w:rPr>
        <w:t xml:space="preserve">este último una obligación para el organismo.</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Límites del acceso a la información pública</w:t>
      </w:r>
    </w:p>
    <w:p>
      <w:pPr>
        <w:spacing w:after="120"/>
        <w:jc w:val="both"/>
      </w:pPr>
      <w:r>
        <w:rPr>
          <w:sz w:val="22"/>
          <w:szCs w:val="22"/>
        </w:rPr>
        <w:t xml:space="preserve">(Límites del acceso a la información pública).- La solicitud de acceso a la información no implica la obligación de los sujetos obligados a crear o producir información que no dispongan o no tengan obligación de contar al momento de efectuarse el pedido. En este caso, el organismo comunicará por escrito que la denegación de la solicitud se debe a la inexistencia de datos en su poder, respecto de la información solicitada. Esta ley tampoco faculta a los peticionarios a exigir a los organismos que efectúen evaluaciones o análisis de la información que posean, salvo aquellos que por sus cometidos institucionales deban producir.</w:t>
      </w:r>
    </w:p>
    <w:p>
      <w:pPr>
        <w:spacing w:after="120"/>
        <w:jc w:val="both"/>
      </w:pPr>
      <w:r>
        <w:rPr>
          <w:sz w:val="22"/>
          <w:szCs w:val="22"/>
        </w:rPr>
        <w:t xml:space="preserve">No se entenderá producción de información, a la recopilación o compilación de información que estuviese dispersa en las diversas áreas del organismo, con el fin de proporcionar la información al peticionario.</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Plazos</w:t>
      </w:r>
    </w:p>
    <w:p>
      <w:pPr>
        <w:spacing w:after="120"/>
        <w:jc w:val="both"/>
      </w:pPr>
      <w:r>
        <w:rPr>
          <w:sz w:val="22"/>
          <w:szCs w:val="22"/>
        </w:rPr>
        <w:t xml:space="preserve">(Plazos).- Cualquier persona física o jurídica podrá formular la petición de acceso a la información en poder de los sujetos obligados. Ante la petición formulada por el interesado, el organismo requerido está obligado a permitir el acceso o, si es posible, contestar la consulta en el momento en que sea solicitado. En caso contrario tendrá un plazo máximo de veinte días hábiles para permitir o negar el acceso o contestar la consulta.</w:t>
      </w:r>
    </w:p>
    <w:p>
      <w:pPr>
        <w:spacing w:after="120"/>
        <w:jc w:val="both"/>
      </w:pPr>
      <w:r>
        <w:rPr>
          <w:sz w:val="22"/>
          <w:szCs w:val="22"/>
        </w:rPr>
        <w:t xml:space="preserve">El plazo podrá prorrogarse, con razones fundadas y por escrito, por otros veinte días hábiles si median circunstancias excepcionales.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Competencia para decidir</w:t>
      </w:r>
    </w:p>
    <w:p>
      <w:pPr>
        <w:spacing w:after="120"/>
        <w:jc w:val="both"/>
      </w:pPr>
      <w:r>
        <w:rPr>
          <w:sz w:val="22"/>
          <w:szCs w:val="22"/>
        </w:rPr>
        <w:t xml:space="preserve">(Competencia para decidir).- El acto que resuelva sobre la petición deberá emanar del jerarca máximo del organismo o quien ejerza facultades delegadas y deberá franquear o negar el acceso a la información que obrare en su poder relativa a la solicitud en forma fundada.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Acceso</w:t>
      </w:r>
    </w:p>
    <w:p>
      <w:pPr>
        <w:spacing w:after="120"/>
        <w:jc w:val="both"/>
      </w:pPr>
      <w:r>
        <w:rPr>
          <w:sz w:val="22"/>
          <w:szCs w:val="22"/>
        </w:rPr>
        <w:t xml:space="preserve">(Acceso).- En caso que los sujetos obligados resuelvan favorablemente las peticiones formuladas, autorizarán la consulta de los documentos pertinentes en las oficinas que determinen o, en su caso, expedirán copia auténtica de los antecedentes que posean relativos a la solicitud.</w:t>
      </w:r>
    </w:p>
    <w:p>
      <w:pPr>
        <w:spacing w:after="120"/>
        <w:jc w:val="both"/>
      </w:pPr>
      <w:r>
        <w:rPr>
          <w:sz w:val="22"/>
          <w:szCs w:val="22"/>
        </w:rPr>
        <w:t xml:space="preserve">El acceso a la información será siempre gratuito, pero su reproducción en cualquier soporte será a costa del interesado, quien reintegrará al organismo únicamente el precio de costo del soporte, sin ningún tipo de ganancia o arancel adicional.</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Silencio positivo</w:t>
      </w:r>
    </w:p>
    <w:p>
      <w:pPr>
        <w:spacing w:after="120"/>
        <w:jc w:val="both"/>
      </w:pPr>
      <w:r>
        <w:rPr>
          <w:sz w:val="22"/>
          <w:szCs w:val="22"/>
        </w:rPr>
        <w:t xml:space="preserve">(Silencio positivo).- El organismo requerido sólo podrá negar la expedición de la información solicitada mediante resolución motivada del jerarca del organismo que señale su carácter reservado o confidencial, indicando las disposiciones legales en que se funde.</w:t>
      </w:r>
    </w:p>
    <w:p>
      <w:pPr>
        <w:spacing w:after="120"/>
        <w:jc w:val="both"/>
      </w:pPr>
      <w:r>
        <w:rPr>
          <w:sz w:val="22"/>
          <w:szCs w:val="22"/>
        </w:rPr>
        <w:t xml:space="preserve">Vencido el plazo de veinte días hábiles desde la presentación de la solicitud, si no ha mediado prórroga o vencida la misma sin que exista resolución expresa notificada al interesado, éste podrá acceder a la información respectiva, considerándose falta grave la negativa de cualquier funcionario a proveérsela, de conformidad con las previsiones de la Ley Nº 17.060, de 23 de diciembre de 1998, y del artículo 31 de la presente ley.</w:t>
      </w:r>
    </w:p>
    <w:p>
      <w:pPr>
        <w:pStyle w:val="Heading3"/>
      </w:pPr>
      <w:r>
        <w:t xml:space="preserve">CAPÍTULO CUARTO - ORGANO DE CONTROL</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Organo de control</w:t>
      </w:r>
    </w:p>
    <w:p>
      <w:pPr>
        <w:spacing w:after="120"/>
        <w:jc w:val="both"/>
      </w:pPr>
      <w:r>
        <w:rPr>
          <w:sz w:val="22"/>
          <w:szCs w:val="22"/>
        </w:rPr>
        <w:t xml:space="preserve">(Organo de control).- Créase como órgano desconcentrado de la Agencia para el Desarrollo del Gobierno de Gestión Electrónica y la Sociedad de la Información y del Conocimiento (AGESIC), dotado de la más amplia autonomía técnica, la Unidad de Acceso a la Información Pública. Estará dirigida por un Consejo Ejecutivo integrado por tres miembros: el Director Ejecutivo de AGESIC y dos miembros designados por el Poder Ejecutivo entre personas que por sus antecedentes personales, profesionales y de conocimiento en la materia aseguren independencia de criterio, eficiencia, objetividad e imparcialidad en el desempeño de sus cargos.</w:t>
      </w:r>
    </w:p>
    <w:p>
      <w:pPr>
        <w:spacing w:after="120"/>
        <w:jc w:val="both"/>
      </w:pPr>
      <w:r>
        <w:rPr>
          <w:sz w:val="22"/>
          <w:szCs w:val="22"/>
        </w:rPr>
        <w:t xml:space="preserve">A excepción del Director Ejecutivo de la AGESIC, los miembros durarán cuatro años en sus cargos, pudiendo ser designados nuevamente. Sólo cesarán por la expiración de su mandato y designación de sus sucesores, o por su remoción dispuesta por el Poder Ejecutivo en los casos de ineptitud, omisión o delito, conforme a las garantías del debido proceso.</w:t>
      </w:r>
    </w:p>
    <w:p>
      <w:pPr>
        <w:spacing w:after="120"/>
        <w:jc w:val="both"/>
      </w:pPr>
      <w:r>
        <w:rPr>
          <w:sz w:val="22"/>
          <w:szCs w:val="22"/>
        </w:rPr>
        <w:t xml:space="preserve">La presidencia del Consejo Ejecutivo será rotativa anualmente entre los dos miembros designados por el Poder Ejecutivo para dicho órgano y tendrá a su cargo la representación del mismo y la ejecución de las actividades necesarias para el cumplimiento de sus resoluciones.</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Consejo Consultivo</w:t>
      </w:r>
    </w:p>
    <w:p>
      <w:pPr>
        <w:spacing w:after="120"/>
        <w:jc w:val="both"/>
      </w:pPr>
      <w:r>
        <w:rPr>
          <w:sz w:val="22"/>
          <w:szCs w:val="22"/>
        </w:rPr>
        <w:t xml:space="preserve">(Consejo Consultivo).- El Consejo Ejecutivo de la Unidad de Acceso a la Información Pública funcionará asistido por un Consejo Consultivo, que estará integrado por cinco miembros:</w:t>
      </w:r>
    </w:p>
    <w:p>
      <w:pPr>
        <w:spacing w:after="120"/>
        <w:ind w:left="567"/>
        <w:jc w:val="both"/>
      </w:pPr>
      <w:r>
        <w:rPr>
          <w:sz w:val="22"/>
          <w:szCs w:val="22"/>
        </w:rPr>
        <w:t xml:space="preserve">A) Una persona con reconocida trayectoria en la promoción y defensa de los</w:t>
      </w:r>
    </w:p>
    <w:p>
      <w:pPr>
        <w:spacing w:after="120"/>
        <w:jc w:val="both"/>
      </w:pPr>
      <w:r>
        <w:rPr>
          <w:sz w:val="22"/>
          <w:szCs w:val="22"/>
        </w:rPr>
        <w:t xml:space="preserve">derechos humanos, designada por el Poder Legislativo, la que no podrá</w:t>
      </w:r>
    </w:p>
    <w:p>
      <w:pPr>
        <w:spacing w:after="120"/>
        <w:jc w:val="both"/>
      </w:pPr>
      <w:r>
        <w:rPr>
          <w:sz w:val="22"/>
          <w:szCs w:val="22"/>
        </w:rPr>
        <w:t xml:space="preserve">ser un legislador en actividad.</w:t>
      </w:r>
    </w:p>
    <w:p>
      <w:pPr>
        <w:spacing w:after="120"/>
        <w:ind w:left="567"/>
        <w:jc w:val="both"/>
      </w:pPr>
      <w:r>
        <w:rPr>
          <w:sz w:val="22"/>
          <w:szCs w:val="22"/>
        </w:rPr>
        <w:t xml:space="preserve">B) Un representante del Poder Judicial.</w:t>
      </w:r>
    </w:p>
    <w:p>
      <w:pPr>
        <w:spacing w:after="120"/>
        <w:ind w:left="567"/>
        <w:jc w:val="both"/>
      </w:pPr>
      <w:r>
        <w:rPr>
          <w:sz w:val="22"/>
          <w:szCs w:val="22"/>
        </w:rPr>
        <w:t xml:space="preserve">C) Un representante del Ministerio Público.</w:t>
      </w:r>
    </w:p>
    <w:p>
      <w:pPr>
        <w:spacing w:after="120"/>
        <w:ind w:left="567"/>
        <w:jc w:val="both"/>
      </w:pPr>
      <w:r>
        <w:rPr>
          <w:sz w:val="22"/>
          <w:szCs w:val="22"/>
        </w:rPr>
        <w:t xml:space="preserve">D) Un representante del área académica.</w:t>
      </w:r>
    </w:p>
    <w:p>
      <w:pPr>
        <w:spacing w:after="120"/>
        <w:ind w:left="567"/>
        <w:jc w:val="both"/>
      </w:pPr>
      <w:r>
        <w:rPr>
          <w:sz w:val="22"/>
          <w:szCs w:val="22"/>
        </w:rPr>
        <w:t xml:space="preserve">E) Un representante del sector privado, que se elegirá en la forma</w:t>
      </w:r>
    </w:p>
    <w:p>
      <w:pPr>
        <w:spacing w:after="120"/>
        <w:jc w:val="both"/>
      </w:pPr>
      <w:r>
        <w:rPr>
          <w:sz w:val="22"/>
          <w:szCs w:val="22"/>
        </w:rPr>
        <w:t xml:space="preserve">establecida reglamentariamente.</w:t>
      </w:r>
    </w:p>
    <w:p>
      <w:pPr>
        <w:spacing w:after="120"/>
        <w:jc w:val="both"/>
      </w:pPr>
      <w:r>
        <w:rPr>
          <w:sz w:val="22"/>
          <w:szCs w:val="22"/>
        </w:rPr>
        <w:t xml:space="preserve">Sesionará presidido por el Presidente de la Unidad de Acceso a la Información Pública.</w:t>
      </w:r>
    </w:p>
    <w:p>
      <w:pPr>
        <w:spacing w:after="120"/>
        <w:jc w:val="both"/>
      </w:pPr>
      <w:r>
        <w:rPr>
          <w:sz w:val="22"/>
          <w:szCs w:val="22"/>
        </w:rPr>
        <w:t xml:space="preserve">Sus integrantes durarán cuatro años en sus cargos y sesionaran a convocatoria del Presidente de la Unidad de Acceso a la Información Pública o de la mayoría de sus miembros.</w:t>
      </w:r>
    </w:p>
    <w:p>
      <w:pPr>
        <w:spacing w:after="120"/>
        <w:jc w:val="both"/>
      </w:pPr>
      <w:r>
        <w:rPr>
          <w:sz w:val="22"/>
          <w:szCs w:val="22"/>
        </w:rPr>
        <w:t xml:space="preserve">Podrá ser consultado por el Consejo Ejecutivo sobre cualquier aspecto de su competencia y deberá ser consultado por éste cuando ejerza potestades de reglamentación.</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Cometidos</w:t>
      </w:r>
    </w:p>
    <w:p>
      <w:pPr>
        <w:spacing w:after="120"/>
        <w:jc w:val="both"/>
      </w:pPr>
      <w:r>
        <w:rPr>
          <w:sz w:val="22"/>
          <w:szCs w:val="22"/>
        </w:rPr>
        <w:t xml:space="preserve">(Cometidos).- El órgano de control deberá realizar todas las acciones necesarias para el cumplimiento de los objetivos y demás disposiciones de la presente ley. A tales efectos tendrá las siguientes funciones y atribuciones:</w:t>
      </w:r>
    </w:p>
    <w:p>
      <w:pPr>
        <w:spacing w:after="120"/>
        <w:ind w:left="567"/>
        <w:jc w:val="both"/>
      </w:pPr>
      <w:r>
        <w:rPr>
          <w:sz w:val="22"/>
          <w:szCs w:val="22"/>
        </w:rPr>
        <w:t xml:space="preserve">A) Asesorar al Poder Ejecutivo en el cumplimiento de la normativa</w:t>
      </w:r>
    </w:p>
    <w:p>
      <w:pPr>
        <w:spacing w:after="120"/>
        <w:jc w:val="both"/>
      </w:pPr>
      <w:r>
        <w:rPr>
          <w:sz w:val="22"/>
          <w:szCs w:val="22"/>
        </w:rPr>
        <w:t xml:space="preserve">constitucional, legal o reglamentaria vigente y de los instrumentos</w:t>
      </w:r>
    </w:p>
    <w:p>
      <w:pPr>
        <w:spacing w:after="120"/>
        <w:jc w:val="both"/>
      </w:pPr>
      <w:r>
        <w:rPr>
          <w:sz w:val="22"/>
          <w:szCs w:val="22"/>
        </w:rPr>
        <w:t xml:space="preserve">internacionales ratificados por la República referidos al acceso a la</w:t>
      </w:r>
    </w:p>
    <w:p>
      <w:pPr>
        <w:spacing w:after="120"/>
        <w:jc w:val="both"/>
      </w:pPr>
      <w:r>
        <w:rPr>
          <w:sz w:val="22"/>
          <w:szCs w:val="22"/>
        </w:rPr>
        <w:t xml:space="preserve">información pública.</w:t>
      </w:r>
    </w:p>
    <w:p>
      <w:pPr>
        <w:spacing w:after="120"/>
        <w:ind w:left="567"/>
        <w:jc w:val="both"/>
      </w:pPr>
      <w:r>
        <w:rPr>
          <w:sz w:val="22"/>
          <w:szCs w:val="22"/>
        </w:rPr>
        <w:t xml:space="preserve">B) Controlar la implementación de la presente ley en los sujetos</w:t>
      </w:r>
    </w:p>
    <w:p>
      <w:pPr>
        <w:spacing w:after="120"/>
        <w:jc w:val="both"/>
      </w:pPr>
      <w:r>
        <w:rPr>
          <w:sz w:val="22"/>
          <w:szCs w:val="22"/>
        </w:rPr>
        <w:t xml:space="preserve">obligados.</w:t>
      </w:r>
    </w:p>
    <w:p>
      <w:pPr>
        <w:spacing w:after="120"/>
        <w:ind w:left="567"/>
        <w:jc w:val="both"/>
      </w:pPr>
      <w:r>
        <w:rPr>
          <w:sz w:val="22"/>
          <w:szCs w:val="22"/>
        </w:rPr>
        <w:t xml:space="preserve">C) Coordinar con autoridades nacionales la implementación de políticas.</w:t>
      </w:r>
    </w:p>
    <w:p>
      <w:pPr>
        <w:spacing w:after="120"/>
        <w:ind w:left="567"/>
        <w:jc w:val="both"/>
      </w:pPr>
      <w:r>
        <w:rPr>
          <w:sz w:val="22"/>
          <w:szCs w:val="22"/>
        </w:rPr>
        <w:t xml:space="preserve">D) Orientar y asesorar a los particulares respecto al derecho de acceso a</w:t>
      </w:r>
    </w:p>
    <w:p>
      <w:pPr>
        <w:spacing w:after="120"/>
        <w:jc w:val="both"/>
      </w:pPr>
      <w:r>
        <w:rPr>
          <w:sz w:val="22"/>
          <w:szCs w:val="22"/>
        </w:rPr>
        <w:t xml:space="preserve">la información pública.</w:t>
      </w:r>
    </w:p>
    <w:p>
      <w:pPr>
        <w:spacing w:after="120"/>
        <w:ind w:left="567"/>
        <w:jc w:val="both"/>
      </w:pPr>
      <w:r>
        <w:rPr>
          <w:sz w:val="22"/>
          <w:szCs w:val="22"/>
        </w:rPr>
        <w:t xml:space="preserve">E) Capacitar a los funcionarios de los sujetos que están obligados a</w:t>
      </w:r>
    </w:p>
    <w:p>
      <w:pPr>
        <w:spacing w:after="120"/>
        <w:jc w:val="both"/>
      </w:pPr>
      <w:r>
        <w:rPr>
          <w:sz w:val="22"/>
          <w:szCs w:val="22"/>
        </w:rPr>
        <w:t xml:space="preserve">brindar el acceso a la información.</w:t>
      </w:r>
    </w:p>
    <w:p>
      <w:pPr>
        <w:spacing w:after="120"/>
        <w:ind w:left="567"/>
        <w:jc w:val="both"/>
      </w:pPr>
      <w:r>
        <w:rPr>
          <w:sz w:val="22"/>
          <w:szCs w:val="22"/>
        </w:rPr>
        <w:t xml:space="preserve">F) Promover y coordinar con todos los sujetos obligados las políticas</w:t>
      </w:r>
    </w:p>
    <w:p>
      <w:pPr>
        <w:spacing w:after="120"/>
        <w:jc w:val="both"/>
      </w:pPr>
      <w:r>
        <w:rPr>
          <w:sz w:val="22"/>
          <w:szCs w:val="22"/>
        </w:rPr>
        <w:t xml:space="preserve">tendientes a facilitar el acceso informativo y la transparencia.</w:t>
      </w:r>
    </w:p>
    <w:p>
      <w:pPr>
        <w:spacing w:after="120"/>
        <w:ind w:left="567"/>
        <w:jc w:val="both"/>
      </w:pPr>
      <w:r>
        <w:rPr>
          <w:sz w:val="22"/>
          <w:szCs w:val="22"/>
        </w:rPr>
        <w:t xml:space="preserve">G) Ser órgano de consulta para todo lo relativo a la puesta en práctica de</w:t>
      </w:r>
    </w:p>
    <w:p>
      <w:pPr>
        <w:spacing w:after="120"/>
        <w:jc w:val="both"/>
      </w:pPr>
      <w:r>
        <w:rPr>
          <w:sz w:val="22"/>
          <w:szCs w:val="22"/>
        </w:rPr>
        <w:t xml:space="preserve">la presente ley por parte de todos los sujetos obligados.</w:t>
      </w:r>
    </w:p>
    <w:p>
      <w:pPr>
        <w:spacing w:after="120"/>
        <w:ind w:left="567"/>
        <w:jc w:val="both"/>
      </w:pPr>
      <w:r>
        <w:rPr>
          <w:sz w:val="22"/>
          <w:szCs w:val="22"/>
        </w:rPr>
        <w:t xml:space="preserve">H) Promover campañas educativas y publicitarias donde se reafirme el</w:t>
      </w:r>
    </w:p>
    <w:p>
      <w:pPr>
        <w:spacing w:after="120"/>
        <w:jc w:val="both"/>
      </w:pPr>
      <w:r>
        <w:rPr>
          <w:sz w:val="22"/>
          <w:szCs w:val="22"/>
        </w:rPr>
        <w:t xml:space="preserve">derecho al acceso a la información como un derecho fundamental.</w:t>
      </w:r>
    </w:p>
    <w:p>
      <w:pPr>
        <w:spacing w:after="120"/>
        <w:ind w:left="567"/>
        <w:jc w:val="both"/>
      </w:pPr>
      <w:r>
        <w:rPr>
          <w:sz w:val="22"/>
          <w:szCs w:val="22"/>
        </w:rPr>
        <w:t xml:space="preserve">I) Realizar un informe de carácter anual relativo al estado de situación</w:t>
      </w:r>
    </w:p>
    <w:p>
      <w:pPr>
        <w:spacing w:after="120"/>
        <w:jc w:val="both"/>
      </w:pPr>
      <w:r>
        <w:rPr>
          <w:sz w:val="22"/>
          <w:szCs w:val="22"/>
        </w:rPr>
        <w:t xml:space="preserve">de este derecho al Poder Ejecutivo.</w:t>
      </w:r>
    </w:p>
    <w:p>
      <w:pPr>
        <w:spacing w:after="120"/>
        <w:ind w:left="567"/>
        <w:jc w:val="both"/>
      </w:pPr>
      <w:r>
        <w:rPr>
          <w:sz w:val="22"/>
          <w:szCs w:val="22"/>
        </w:rPr>
        <w:t xml:space="preserve">J) Denunciar ante las autoridades competentes cualquier conducta</w:t>
      </w:r>
    </w:p>
    <w:p>
      <w:pPr>
        <w:spacing w:after="120"/>
        <w:jc w:val="both"/>
      </w:pPr>
      <w:r>
        <w:rPr>
          <w:sz w:val="22"/>
          <w:szCs w:val="22"/>
        </w:rPr>
        <w:t xml:space="preserve">violatoria a la presente ley y aportar las pruebas que consideren</w:t>
      </w:r>
    </w:p>
    <w:p>
      <w:pPr>
        <w:spacing w:after="120"/>
        <w:jc w:val="both"/>
      </w:pPr>
      <w:r>
        <w:rPr>
          <w:sz w:val="22"/>
          <w:szCs w:val="22"/>
        </w:rPr>
        <w:t xml:space="preserve">pertinentes.</w:t>
      </w:r>
    </w:p>
    <w:p>
      <w:pPr>
        <w:spacing w:after="120"/>
        <w:ind w:left="567"/>
        <w:jc w:val="both"/>
      </w:pPr>
      <w:r>
        <w:rPr>
          <w:sz w:val="22"/>
          <w:szCs w:val="22"/>
        </w:rPr>
        <w:t xml:space="preserve">K) Solicitar al sujeto obligado la desclasificación de la información que</w:t>
      </w:r>
    </w:p>
    <w:p>
      <w:pPr>
        <w:spacing w:after="120"/>
        <w:jc w:val="both"/>
      </w:pPr>
      <w:r>
        <w:rPr>
          <w:sz w:val="22"/>
          <w:szCs w:val="22"/>
        </w:rPr>
        <w:t xml:space="preserve">hubiere sido clasificada sin ajustarse a los criterios de</w:t>
      </w:r>
    </w:p>
    <w:p>
      <w:pPr>
        <w:spacing w:after="120"/>
        <w:jc w:val="both"/>
      </w:pPr>
      <w:r>
        <w:rPr>
          <w:sz w:val="22"/>
          <w:szCs w:val="22"/>
        </w:rPr>
        <w:t xml:space="preserve">clasificación establecidos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k) agregado/s por: Ley Nº 19.178 de 27/12/2013 artículo </w:t>
      </w:r>
      <w:hyperlink w:history="1" r:id="rId6ibigaguowhq7debz3zm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QUINTO - ACCIÓN DE ACCESO A LA INFORMACION</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Acción de acceso a la información pública</w:t>
      </w:r>
    </w:p>
    <w:p>
      <w:pPr>
        <w:spacing w:after="120"/>
        <w:jc w:val="both"/>
      </w:pPr>
      <w:r>
        <w:rPr>
          <w:sz w:val="22"/>
          <w:szCs w:val="22"/>
        </w:rPr>
        <w:t xml:space="preserve">(Acción de acceso a la información pública).- Toda persona tendrá derecho a entablar una acción judicial efectiva que garantice el pleno acceso a las informaciones de su interés (artículo 694 de la Ley Nº 16.736, de 5 de enero de 1996).</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Procedencia y competencia</w:t>
      </w:r>
    </w:p>
    <w:p>
      <w:pPr>
        <w:spacing w:after="120"/>
        <w:jc w:val="both"/>
      </w:pPr>
      <w:r>
        <w:rPr>
          <w:sz w:val="22"/>
          <w:szCs w:val="22"/>
        </w:rPr>
        <w:t xml:space="preserve">(Procedencia y competencia).- La acción de acceso a la información procede contra todo sujeto obligado por la presente ley, cuando éste se negare a expedir la información solicitada o no se expidiese en los plazos fijados en la presente ley.</w:t>
      </w:r>
    </w:p>
    <w:p>
      <w:pPr>
        <w:spacing w:after="120"/>
        <w:jc w:val="both"/>
      </w:pPr>
      <w:r>
        <w:rPr>
          <w:sz w:val="22"/>
          <w:szCs w:val="22"/>
        </w:rPr>
        <w:t xml:space="preserve">Serán competentes para conocer en estas acciones:</w:t>
      </w:r>
    </w:p>
    <w:p>
      <w:pPr>
        <w:spacing w:after="120"/>
        <w:ind w:left="567"/>
        <w:jc w:val="both"/>
      </w:pPr>
      <w:r>
        <w:rPr>
          <w:sz w:val="22"/>
          <w:szCs w:val="22"/>
        </w:rPr>
        <w:t xml:space="preserve">1) En la capital, los Juzgados Letrados de Primera Instancia en lo</w:t>
      </w:r>
    </w:p>
    <w:p>
      <w:pPr>
        <w:spacing w:after="120"/>
        <w:jc w:val="both"/>
      </w:pPr>
      <w:r>
        <w:rPr>
          <w:sz w:val="22"/>
          <w:szCs w:val="22"/>
        </w:rPr>
        <w:t xml:space="preserve">Contencioso Administrativo, cuando la acción se dirija contra una</w:t>
      </w:r>
    </w:p>
    <w:p>
      <w:pPr>
        <w:spacing w:after="120"/>
        <w:jc w:val="both"/>
      </w:pPr>
      <w:r>
        <w:rPr>
          <w:sz w:val="22"/>
          <w:szCs w:val="22"/>
        </w:rPr>
        <w:t xml:space="preserve">persona pública estatal, y los Juzgados Letrados de Primera Instancia</w:t>
      </w:r>
    </w:p>
    <w:p>
      <w:pPr>
        <w:spacing w:after="120"/>
        <w:jc w:val="both"/>
      </w:pPr>
      <w:r>
        <w:rPr>
          <w:sz w:val="22"/>
          <w:szCs w:val="22"/>
        </w:rPr>
        <w:t xml:space="preserve">en lo Civil en los restantes casos.</w:t>
      </w:r>
    </w:p>
    <w:p>
      <w:pPr>
        <w:spacing w:after="120"/>
        <w:ind w:left="567"/>
        <w:jc w:val="both"/>
      </w:pPr>
      <w:r>
        <w:rPr>
          <w:sz w:val="22"/>
          <w:szCs w:val="22"/>
        </w:rPr>
        <w:t xml:space="preserve">2) En el interior, los Juzgados Letrados de Primera Instancia a los que se</w:t>
      </w:r>
    </w:p>
    <w:p>
      <w:pPr>
        <w:spacing w:after="120"/>
        <w:jc w:val="both"/>
      </w:pPr>
      <w:r>
        <w:rPr>
          <w:sz w:val="22"/>
          <w:szCs w:val="22"/>
        </w:rPr>
        <w:t xml:space="preserve">haya asignado competencia en la materia.</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Legitimación</w:t>
      </w:r>
    </w:p>
    <w:p>
      <w:pPr>
        <w:spacing w:after="120"/>
        <w:jc w:val="both"/>
      </w:pPr>
      <w:r>
        <w:rPr>
          <w:sz w:val="22"/>
          <w:szCs w:val="22"/>
        </w:rPr>
        <w:t xml:space="preserve">(Legitimación).- La acción de acceso a la información podrá ser ejercida por el sujeto interesado o sus representantes, ya sean tutores o curadores y, en caso de personas fallecidas, por sus sucesores universales, en línea directa o colateral hasta el segundo grado, por sí o por medio de apoderado.</w:t>
      </w:r>
    </w:p>
    <w:p>
      <w:pPr>
        <w:spacing w:after="120"/>
        <w:jc w:val="both"/>
      </w:pPr>
      <w:r>
        <w:rPr>
          <w:sz w:val="22"/>
          <w:szCs w:val="22"/>
        </w:rPr>
        <w:t xml:space="preserve">En el caso de personas jurídicas, la acción deberá ser interpuesta por sus representantes legales o por los apoderados designados a tales efectos.</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Procedimiento</w:t>
      </w:r>
    </w:p>
    <w:p>
      <w:pPr>
        <w:spacing w:after="120"/>
        <w:jc w:val="both"/>
      </w:pPr>
      <w:r>
        <w:rPr>
          <w:sz w:val="22"/>
          <w:szCs w:val="22"/>
        </w:rPr>
        <w:t xml:space="preserve">(Procedimiento).- Las acciones que se promuevan por violación a los derechos contemplados en la presente ley se regirán por las normas contenidas en los artículos que siguen al presente. Serán aplicables en lo pertinente los artículos 14 y 15 del Código General del Proceso.</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Trámite de primera instancia</w:t>
      </w:r>
    </w:p>
    <w:p>
      <w:pPr>
        <w:spacing w:after="120"/>
        <w:jc w:val="both"/>
      </w:pPr>
      <w:r>
        <w:rPr>
          <w:sz w:val="22"/>
          <w:szCs w:val="22"/>
        </w:rPr>
        <w:t xml:space="preserve">(Trámite de primera instancia).- Salvo que la acción fuera manifiestamente improcedente, en cuyo caso el tribunal la rechazará sin sustanciarla y dispondrá el archivo de las actuaciones, se convocará a las partes a una audiencia pública dentro del plazo de tres días de la fecha de la presentación de la demanda.</w:t>
      </w:r>
    </w:p>
    <w:p>
      <w:pPr>
        <w:spacing w:after="120"/>
        <w:jc w:val="both"/>
      </w:pPr>
      <w:r>
        <w:rPr>
          <w:sz w:val="22"/>
          <w:szCs w:val="22"/>
        </w:rPr>
        <w:t xml:space="preserve">En dicha audiencia se oirán las explicaciones del demandado, se recibirán las pruebas y se producirán los alegatos. El tribunal, que podrá rechazar las pruebas manifiestamente impertinentes o innecesarias, presidirá la audiencia so pena de nulidad, e interrogará a los testigos y a las partes, sin perjuicio de que aquéllos sean, a su vez, repreguntados por los abogados. Gozará de los más amplios poderes de policía y de dirección de la audiencia.</w:t>
      </w:r>
    </w:p>
    <w:p>
      <w:pPr>
        <w:spacing w:after="120"/>
        <w:jc w:val="both"/>
      </w:pPr>
      <w:r>
        <w:rPr>
          <w:sz w:val="22"/>
          <w:szCs w:val="22"/>
        </w:rPr>
        <w:t xml:space="preserve">En cualquier momento podrá ordenar diligencias para mejor proveer.</w:t>
      </w:r>
    </w:p>
    <w:p>
      <w:pPr>
        <w:spacing w:after="120"/>
        <w:jc w:val="both"/>
      </w:pPr>
      <w:r>
        <w:rPr>
          <w:sz w:val="22"/>
          <w:szCs w:val="22"/>
        </w:rPr>
        <w:t xml:space="preserve">La sentencia se dictará en la audiencia o a más tardar, dentro de las veinticuatro horas de su celebración. Sólo en casos excepcionales podrá prorrogarse la audiencia por hasta tres días.</w:t>
      </w:r>
    </w:p>
    <w:p>
      <w:pPr>
        <w:spacing w:after="120"/>
        <w:jc w:val="both"/>
      </w:pPr>
      <w:r>
        <w:rPr>
          <w:sz w:val="22"/>
          <w:szCs w:val="22"/>
        </w:rPr>
        <w:t xml:space="preserve">Las notificaciones podrán realizarse por intermedio de la autoridad policial. A los efectos del cómputo de los plazos de cumplimiento de lo ordenado por la sentencia, se dejará constancia de la hora en que se efectuó la notificación.</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Medidas provisionales</w:t>
      </w:r>
    </w:p>
    <w:p>
      <w:pPr>
        <w:spacing w:after="120"/>
        <w:jc w:val="both"/>
      </w:pPr>
      <w:r>
        <w:rPr>
          <w:sz w:val="22"/>
          <w:szCs w:val="22"/>
        </w:rPr>
        <w:t xml:space="preserve">(Medidas provisionales).- Si de la demanda o en cualquier otro momento del proceso resultare, a juicio del tribunal, la necesidad de su inmediata actuación, éste dispondrá, con carácter provisional, las medidas que correspondieren en amparo del derecho o libertad presuntamente violados.</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Contenido de la sentencia</w:t>
      </w:r>
    </w:p>
    <w:p>
      <w:pPr>
        <w:spacing w:after="120"/>
        <w:jc w:val="both"/>
      </w:pPr>
      <w:r>
        <w:rPr>
          <w:sz w:val="22"/>
          <w:szCs w:val="22"/>
        </w:rPr>
        <w:t xml:space="preserve">(Contenido de la sentencia).- La sentencia que haga lugar a la acción de acceso deberá contener:</w:t>
      </w:r>
    </w:p>
    <w:p>
      <w:pPr>
        <w:spacing w:after="120"/>
        <w:ind w:left="567"/>
        <w:jc w:val="both"/>
      </w:pPr>
      <w:r>
        <w:rPr>
          <w:sz w:val="22"/>
          <w:szCs w:val="22"/>
        </w:rPr>
        <w:t xml:space="preserve">A) La identificación concreta de la autoridad o el particular a quien se</w:t>
      </w:r>
    </w:p>
    <w:p>
      <w:pPr>
        <w:spacing w:after="120"/>
        <w:jc w:val="both"/>
      </w:pPr>
      <w:r>
        <w:rPr>
          <w:sz w:val="22"/>
          <w:szCs w:val="22"/>
        </w:rPr>
        <w:t xml:space="preserve">dirija y contra cuya acción, hecho u omisión se garantice el acceso.</w:t>
      </w:r>
    </w:p>
    <w:p>
      <w:pPr>
        <w:spacing w:after="120"/>
        <w:ind w:left="567"/>
        <w:jc w:val="both"/>
      </w:pPr>
      <w:r>
        <w:rPr>
          <w:sz w:val="22"/>
          <w:szCs w:val="22"/>
        </w:rPr>
        <w:t xml:space="preserve">B) La determinación precisa de lo que deba o no deba hacerse y el plazo</w:t>
      </w:r>
    </w:p>
    <w:p>
      <w:pPr>
        <w:spacing w:after="120"/>
        <w:jc w:val="both"/>
      </w:pPr>
      <w:r>
        <w:rPr>
          <w:sz w:val="22"/>
          <w:szCs w:val="22"/>
        </w:rPr>
        <w:t xml:space="preserve">por el cual dicha resolución regirá, si es que corresponde fijarlo.</w:t>
      </w:r>
    </w:p>
    <w:p>
      <w:pPr>
        <w:spacing w:after="120"/>
        <w:ind w:left="567"/>
        <w:jc w:val="both"/>
      </w:pPr>
      <w:r>
        <w:rPr>
          <w:sz w:val="22"/>
          <w:szCs w:val="22"/>
        </w:rPr>
        <w:t xml:space="preserve">C) El plazo para el cumplimiento de lo dispuesto, que será fijado por el</w:t>
      </w:r>
    </w:p>
    <w:p>
      <w:pPr>
        <w:spacing w:after="120"/>
        <w:jc w:val="both"/>
      </w:pPr>
      <w:r>
        <w:rPr>
          <w:sz w:val="22"/>
          <w:szCs w:val="22"/>
        </w:rPr>
        <w:t xml:space="preserve">tribunal conforme las circunstancias de cada caso, y no será mayor de</w:t>
      </w:r>
    </w:p>
    <w:p>
      <w:pPr>
        <w:spacing w:after="120"/>
        <w:jc w:val="both"/>
      </w:pPr>
      <w:r>
        <w:rPr>
          <w:sz w:val="22"/>
          <w:szCs w:val="22"/>
        </w:rPr>
        <w:t xml:space="preserve">quince días corridos e ininterrumpidos, computados a partir de la</w:t>
      </w:r>
    </w:p>
    <w:p>
      <w:pPr>
        <w:spacing w:after="120"/>
        <w:jc w:val="both"/>
      </w:pPr>
      <w:r>
        <w:rPr>
          <w:sz w:val="22"/>
          <w:szCs w:val="22"/>
        </w:rPr>
        <w:t xml:space="preserve">notificación.</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Recurso de apelación y segunda instancia</w:t>
      </w:r>
    </w:p>
    <w:p>
      <w:pPr>
        <w:spacing w:after="120"/>
        <w:jc w:val="both"/>
      </w:pPr>
      <w:r>
        <w:rPr>
          <w:sz w:val="22"/>
          <w:szCs w:val="22"/>
        </w:rPr>
        <w:t xml:space="preserve">(Recurso de apelación y segunda instancia).- En el proceso sólo serán apelables la sentencia definitiva y la que rechaza la acción por ser manifiestamente improcedente.</w:t>
      </w:r>
    </w:p>
    <w:p>
      <w:pPr>
        <w:spacing w:after="120"/>
        <w:jc w:val="both"/>
      </w:pPr>
      <w:r>
        <w:rPr>
          <w:sz w:val="22"/>
          <w:szCs w:val="22"/>
        </w:rPr>
        <w:t xml:space="preserve">El recurso de apelación deberá interponerse en escrito fundado, dentro del plazo perentorio de tres días. El tribunal elevará sin más trámite los autos al superior cuando hubiere desestimado la acción por improcedencia manifiesta, y lo sustanciará con un traslado a la contraparte, por tres días perentorios, cuando la sentencia apelada fuese la definitiva.</w:t>
      </w:r>
    </w:p>
    <w:p>
      <w:pPr>
        <w:spacing w:after="120"/>
        <w:jc w:val="both"/>
      </w:pPr>
      <w:r>
        <w:rPr>
          <w:sz w:val="22"/>
          <w:szCs w:val="22"/>
        </w:rPr>
        <w:t xml:space="preserve">El tribunal de alzada resolverá en acuerdo, dentro de los cuatro días siguientes a la recepción de los autos. La interposición del recurso no suspenderá las medidas de amparo decretadas, las cuales serán cumplidas inmediatamente después de notificada la sentencia, sin necesidad de tener que esperar el transcurso del plazo para su impugnación.</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Sumariedad. Otros aspectos</w:t>
      </w:r>
    </w:p>
    <w:p>
      <w:pPr>
        <w:spacing w:after="120"/>
        <w:jc w:val="both"/>
      </w:pPr>
      <w:r>
        <w:rPr>
          <w:sz w:val="22"/>
          <w:szCs w:val="22"/>
        </w:rPr>
        <w:t xml:space="preserve">(Sumariedad. Otros aspectos).- En este tipo de procesos no podrán deducirse cuestiones previas, reconvenciones ni incidentes. El tribunal, a petición de parte o de oficio, subsanará los vicios de procedimiento, asegurando, dentro de la naturaleza sumaria del proceso, la vigencia del principio de contradictorio.</w:t>
      </w:r>
    </w:p>
    <w:p>
      <w:pPr>
        <w:spacing w:after="120"/>
        <w:jc w:val="both"/>
      </w:pPr>
      <w:r>
        <w:rPr>
          <w:sz w:val="22"/>
          <w:szCs w:val="22"/>
        </w:rPr>
        <w:t xml:space="preserve">Cuando se planteare la inconstitucionalidad por vía de excepción o de oficio (numeral 2 del artículo 509 y numeral 2 del artículo 510 del Código General del Proceso) se procederá a la suspensión del procedimiento sólo después que el Magistrado actuante haya dispuesto la adopción de las medidas provisorias referidas en la presente ley o, en su caso, dejando constancia circunstanciada de las razones de considerarlas innecesarias.</w:t>
      </w:r>
    </w:p>
    <w:p>
      <w:pPr>
        <w:pStyle w:val="Heading3"/>
      </w:pPr>
      <w:r>
        <w:t xml:space="preserve">CAPÍTULO SEXTO - RESPONSABILIDADES</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Responsabilidad administrativa</w:t>
      </w:r>
    </w:p>
    <w:p>
      <w:pPr>
        <w:spacing w:after="120"/>
        <w:jc w:val="both"/>
      </w:pPr>
      <w:r>
        <w:rPr>
          <w:sz w:val="22"/>
          <w:szCs w:val="22"/>
        </w:rPr>
        <w:t xml:space="preserve">(Responsabilidad administrativa).- Constituirán falta grave, sin perjuicio de las responsabilidades civiles y penales que pudieran corresponder:</w:t>
      </w:r>
    </w:p>
    <w:p>
      <w:pPr>
        <w:spacing w:after="120"/>
        <w:ind w:left="567"/>
        <w:jc w:val="both"/>
      </w:pPr>
      <w:r>
        <w:rPr>
          <w:sz w:val="22"/>
          <w:szCs w:val="22"/>
        </w:rPr>
        <w:t xml:space="preserve">A) Denegar información no clasificada como reservada o confidencial.</w:t>
      </w:r>
    </w:p>
    <w:p>
      <w:pPr>
        <w:spacing w:after="120"/>
        <w:ind w:left="567"/>
        <w:jc w:val="both"/>
      </w:pPr>
      <w:r>
        <w:rPr>
          <w:sz w:val="22"/>
          <w:szCs w:val="22"/>
        </w:rPr>
        <w:t xml:space="preserve">B) La omisión o suministro parcial de la información requerida, actuando</w:t>
      </w:r>
    </w:p>
    <w:p>
      <w:pPr>
        <w:spacing w:after="120"/>
        <w:jc w:val="both"/>
      </w:pPr>
      <w:r>
        <w:rPr>
          <w:sz w:val="22"/>
          <w:szCs w:val="22"/>
        </w:rPr>
        <w:t xml:space="preserve">con negligencia, dolo o mala fe.</w:t>
      </w:r>
    </w:p>
    <w:p>
      <w:pPr>
        <w:spacing w:after="120"/>
        <w:ind w:left="567"/>
        <w:jc w:val="both"/>
      </w:pPr>
      <w:r>
        <w:rPr>
          <w:sz w:val="22"/>
          <w:szCs w:val="22"/>
        </w:rPr>
        <w:t xml:space="preserve">C) Permitir el acceso injustificado a información clasificada como</w:t>
      </w:r>
    </w:p>
    <w:p>
      <w:pPr>
        <w:spacing w:after="120"/>
        <w:jc w:val="both"/>
      </w:pPr>
      <w:r>
        <w:rPr>
          <w:sz w:val="22"/>
          <w:szCs w:val="22"/>
        </w:rPr>
        <w:t xml:space="preserve">reservada o confidencial.</w:t>
      </w:r>
    </w:p>
    <w:p>
      <w:pPr>
        <w:spacing w:after="120"/>
        <w:ind w:left="567"/>
        <w:jc w:val="both"/>
      </w:pPr>
      <w:r>
        <w:rPr>
          <w:sz w:val="22"/>
          <w:szCs w:val="22"/>
        </w:rPr>
        <w:t xml:space="preserve">D) La utilización, sustracción, ocultamiento, divulgación o alteración</w:t>
      </w:r>
    </w:p>
    <w:p>
      <w:pPr>
        <w:spacing w:after="120"/>
        <w:jc w:val="both"/>
      </w:pPr>
      <w:r>
        <w:rPr>
          <w:sz w:val="22"/>
          <w:szCs w:val="22"/>
        </w:rPr>
        <w:t xml:space="preserve">total o parcial en forma indebida de la información que se encuentra</w:t>
      </w:r>
    </w:p>
    <w:p>
      <w:pPr>
        <w:spacing w:after="120"/>
        <w:jc w:val="both"/>
      </w:pPr>
      <w:r>
        <w:rPr>
          <w:sz w:val="22"/>
          <w:szCs w:val="22"/>
        </w:rPr>
        <w:t xml:space="preserve">bajo su custodia o a la que se tenga acceso por razones funcionales.</w:t>
      </w:r>
    </w:p>
    <w:p>
      <w:pPr>
        <w:pStyle w:val="Heading3"/>
      </w:pPr>
      <w:r>
        <w:t xml:space="preserve">CAPÍTULO SEPTIMO - DISPOSICIONES TRANSITORIAS</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Plazo de implementación de sitios web</w:t>
      </w:r>
    </w:p>
    <w:p>
      <w:pPr>
        <w:spacing w:after="120"/>
        <w:jc w:val="both"/>
      </w:pPr>
      <w:r>
        <w:rPr>
          <w:sz w:val="22"/>
          <w:szCs w:val="22"/>
        </w:rPr>
        <w:t xml:space="preserve">(Plazo de implementación de sitios web).- Los sitios web deberán ser implementados por los sujetos obligados, en el plazo perentorio de un año, contado a partir de la publicación de la presente ley. Su reglamentación regulará los lineamientos técnicos que permitan la uniformidad, interacción, fácil ubicación y acceso de esta información.</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(Clasificación de la información). Al 31 de julio de 2012, todos los sujetos obligados deberán elaborar la lista de toda la información que a la fecha se encuentre clasificada como reservada, siempre y cuando esté comprendida en algunas de las excepciones contempladas en el artículo 9° de la presente ley.</w:t>
      </w:r>
    </w:p>
    <w:p>
      <w:pPr>
        <w:spacing w:after="120"/>
        <w:jc w:val="both"/>
      </w:pPr>
      <w:r>
        <w:rPr>
          <w:sz w:val="22"/>
          <w:szCs w:val="22"/>
        </w:rPr>
        <w:t xml:space="preserve">En la misma fecha, la información que no se sujete a estas excepciones, deberá ser desclasificada.</w:t>
      </w:r>
    </w:p>
    <w:p>
      <w:pPr>
        <w:spacing w:after="120"/>
        <w:jc w:val="both"/>
      </w:pPr>
      <w:r>
        <w:rPr>
          <w:sz w:val="22"/>
          <w:szCs w:val="22"/>
        </w:rPr>
        <w:t xml:space="preserve">A partir de la fecha señalada, toda información clasificada como reservada, que tenga más de quince años, deberá ser desclasificada y abierta libremente al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_04axcble72zekp-agjza">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18.381 de 17/10/2008 artículo </w:t>
      </w:r>
      <w:hyperlink w:history="1" r:id="rIdfs_euo0gbzsh4dazztn7t">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(Plazo de adecuación de los sujetos obligados). Los sujetos obligados por la presente ley dispondrán de un plazo de cuatro años para adecuar sus registros, durante el cual no serán pasibles de sanción en caso de denegación de acceso fundada en la imposibilidad de ubicar la información.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18.719 de 27/12/2010 artículo </w:t>
      </w:r>
      <w:hyperlink w:history="1" r:id="rIddwgdjqcqubqinfjlnwkgq">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18.381 de 17/10/2008 artículo </w:t>
      </w:r>
      <w:hyperlink w:history="1" r:id="rIdz9wbju6cci_mumm7bqw2e">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Plazo para la reglamentación</w:t>
      </w:r>
    </w:p>
    <w:p>
      <w:pPr>
        <w:spacing w:after="120"/>
        <w:jc w:val="both"/>
      </w:pPr>
      <w:r>
        <w:rPr>
          <w:sz w:val="22"/>
          <w:szCs w:val="22"/>
        </w:rPr>
        <w:t xml:space="preserve">(Plazo para la reglamentación).- La presente ley se reglamentará dentro del plazo de ciento veinte días desde su publicación.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sobre el derecho de acceso a la información pública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zy0tti7cvbp-n56g8jj" Type="http://schemas.openxmlformats.org/officeDocument/2006/relationships/hyperlink" Target="https://www.impo.com.uy/bases/leyes/19996-2021/39" TargetMode="External"/><Relationship Id="rId9y-0zg-jsbcqp6ufq_vj9" Type="http://schemas.openxmlformats.org/officeDocument/2006/relationships/hyperlink" Target="https://www.impo.com.uy/bases/leyes/19996-2021/2" TargetMode="External"/><Relationship Id="rIdi39dknyi4kdykm5rsxf2m" Type="http://schemas.openxmlformats.org/officeDocument/2006/relationships/hyperlink" Target="https://www.impo.com.uy/bases/leyes-originales/18381-2008/5" TargetMode="External"/><Relationship Id="rIdr4vdg1qtzkge38zqoqlin" Type="http://schemas.openxmlformats.org/officeDocument/2006/relationships/hyperlink" Target="https://www.impo.com.uy/bases/leyes/19696-2018/32" TargetMode="External"/><Relationship Id="rIdh6eqc1yyd6coarbskj0h2" Type="http://schemas.openxmlformats.org/officeDocument/2006/relationships/hyperlink" Target="https://www.impo.com.uy/bases/leyes/19178-2013/1" TargetMode="External"/><Relationship Id="rId8-zdnw7bvwtd8ztyeieuw" Type="http://schemas.openxmlformats.org/officeDocument/2006/relationships/hyperlink" Target="https://www.impo.com.uy/bases/leyes/18381-2008/12" TargetMode="External"/><Relationship Id="rIdb4smrxvvvnqxcnf5iv4hn" Type="http://schemas.openxmlformats.org/officeDocument/2006/relationships/hyperlink" Target="https://www.impo.com.uy/bases/leyes/18381-2008/33" TargetMode="External"/><Relationship Id="rId3dg2ov1ikdzh7caeofycx" Type="http://schemas.openxmlformats.org/officeDocument/2006/relationships/hyperlink" Target="https://www.impo.com.uy/bases/leyes/18381-2008/12" TargetMode="External"/><Relationship Id="rIdkdikjuszjgy7uztdklp3b" Type="http://schemas.openxmlformats.org/officeDocument/2006/relationships/hyperlink" Target="https://www.impo.com.uy/bases/leyes/18381-2008/12" TargetMode="External"/><Relationship Id="rId6ibigaguowhq7debz3zmh" Type="http://schemas.openxmlformats.org/officeDocument/2006/relationships/hyperlink" Target="https://www.impo.com.uy/bases/leyes/19178-2013/2" TargetMode="External"/><Relationship Id="rId_04axcble72zekp-agjza" Type="http://schemas.openxmlformats.org/officeDocument/2006/relationships/hyperlink" Target="https://www.impo.com.uy/bases/leyes/18719-2010/150" TargetMode="External"/><Relationship Id="rIdfs_euo0gbzsh4dazztn7t" Type="http://schemas.openxmlformats.org/officeDocument/2006/relationships/hyperlink" Target="https://www.impo.com.uy/bases/leyes-originales/18381-2008/33" TargetMode="External"/><Relationship Id="rIddwgdjqcqubqinfjlnwkgq" Type="http://schemas.openxmlformats.org/officeDocument/2006/relationships/hyperlink" Target="https://www.impo.com.uy/bases/leyes/18719-2010/151" TargetMode="External"/><Relationship Id="rIdz9wbju6cci_mumm7bqw2e" Type="http://schemas.openxmlformats.org/officeDocument/2006/relationships/hyperlink" Target="https://www.impo.com.uy/bases/leyes-originales/18381-2008/34"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sobre el derecho de acceso a la información pública · texto consolidado vigente al 27 de octubre de 2026</dc:title>
  <dc:subject>Ley N.º 18.381 de 2008</dc:subject>
  <dc:creator>Texto Vigente</dc:creator>
  <dc:description>Ley N.º 18.381 de 2008. Fuente: IMPO (https://www.impo.com.uy/bases/leyes/18381-2008). https://www.textovigente.com/ley-18381/</dc:description>
  <cp:lastModifiedBy>Un-named</cp:lastModifiedBy>
  <cp:revision>1</cp:revision>
  <dcterms:created xsi:type="dcterms:W3CDTF">2026-10-27T16:00:29.161Z</dcterms:created>
  <dcterms:modified xsi:type="dcterms:W3CDTF">2026-10-27T16:00:29.161Z</dcterms:modified>
</cp:coreProperties>
</file>

<file path=docProps/custom.xml><?xml version="1.0" encoding="utf-8"?>
<Properties xmlns="http://schemas.openxmlformats.org/officeDocument/2006/custom-properties" xmlns:vt="http://schemas.openxmlformats.org/officeDocument/2006/docPropsVTypes"/>
</file>