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0"/>
      </w:pPr>
      <w:r>
        <w:rPr>
          <w:rFonts w:ascii="Arial" w:cs="Arial" w:eastAsia="Arial" w:hAnsi="Arial"/>
          <w:color w:val="14213D"/>
          <w:sz w:val="20"/>
          <w:szCs w:val="20"/>
        </w:rPr>
        <w:t xml:space="preserve">Texto Vigente · Legislación uruguaya consolidada</w:t>
      </w:r>
    </w:p>
    <w:p>
      <w:pPr>
        <w:spacing w:after="200"/>
      </w:pPr>
      <w:r>
        <w:rPr>
          <w:rFonts w:ascii="Arial" w:cs="Arial" w:eastAsia="Arial" w:hAnsi="Arial"/>
          <w:color w:val="555555"/>
          <w:sz w:val="22"/>
          <w:szCs w:val="22"/>
        </w:rPr>
        <w:t xml:space="preserve">Ley de la República Oriental del Uruguay</w:t>
      </w:r>
    </w:p>
    <w:p>
      <w:pPr>
        <w:pStyle w:val="Title"/>
      </w:pPr>
      <w:r>
        <w:rPr>
          <w:color w:val="14213D"/>
        </w:rPr>
        <w:t xml:space="preserve">Ley de Ordenamiento Territorial y Desarrollo Sostenible</w:t>
      </w:r>
    </w:p>
    <w:p>
      <w:pPr>
        <w:spacing w:after="300"/>
      </w:pPr>
      <w:r>
        <w:rPr>
          <w:rFonts w:ascii="Arial" w:cs="Arial" w:eastAsia="Arial" w:hAnsi="Arial"/>
          <w:sz w:val="24"/>
          <w:szCs w:val="24"/>
        </w:rPr>
        <w:t xml:space="preserve">Ley N.º 18.308 de 2008</w:t>
      </w:r>
    </w:p>
    <w:p>
      <w:pPr>
        <w:shd w:fill="FFF3DC" w:val="clear"/>
        <w:spacing w:after="400"/>
      </w:pPr>
      <w:r>
        <w:rPr>
          <w:rFonts w:ascii="Arial" w:cs="Arial" w:eastAsia="Arial" w:hAnsi="Arial"/>
          <w:b/>
          <w:bCs/>
          <w:color w:val="14213D"/>
          <w:sz w:val="24"/>
          <w:szCs w:val="24"/>
        </w:rPr>
        <w:t xml:space="preserve">Texto consolidado vigente al 27 de octubre de 2026</w:t>
      </w:r>
    </w:p>
    <w:p>
      <w:pPr>
        <w:spacing w:after="120"/>
      </w:pPr>
      <w:r>
        <w:rPr>
          <w:rFonts w:ascii="Arial" w:cs="Arial" w:eastAsia="Arial" w:hAnsi="Arial"/>
          <w:b/>
          <w:bCs/>
          <w:sz w:val="20"/>
          <w:szCs w:val="20"/>
        </w:rPr>
        <w:t xml:space="preserve">Última modificación incorporada: </w:t>
      </w:r>
      <w:r>
        <w:rPr>
          <w:rFonts w:ascii="Arial" w:cs="Arial" w:eastAsia="Arial" w:hAnsi="Arial"/>
          <w:sz w:val="20"/>
          <w:szCs w:val="20"/>
        </w:rPr>
        <w:t xml:space="preserve">Ley N.º 20.446 de 16/12/2025</w:t>
      </w:r>
    </w:p>
    <w:p>
      <w:pPr>
        <w:spacing w:after="120"/>
      </w:pPr>
      <w:r>
        <w:rPr>
          <w:rFonts w:ascii="Arial" w:cs="Arial" w:eastAsia="Arial" w:hAnsi="Arial"/>
          <w:b/>
          <w:bCs/>
          <w:sz w:val="20"/>
          <w:szCs w:val="20"/>
        </w:rPr>
        <w:t xml:space="preserve">Contenido: </w:t>
      </w:r>
      <w:r>
        <w:rPr>
          <w:rFonts w:ascii="Arial" w:cs="Arial" w:eastAsia="Arial" w:hAnsi="Arial"/>
          <w:sz w:val="20"/>
          <w:szCs w:val="20"/>
        </w:rPr>
        <w:t xml:space="preserve">88 artículos, 26 con notas de modificación.</w:t>
      </w:r>
    </w:p>
    <w:p>
      <w:pPr>
        <w:spacing w:after="120"/>
      </w:pPr>
      <w:r>
        <w:rPr>
          <w:rFonts w:ascii="Arial" w:cs="Arial" w:eastAsia="Arial" w:hAnsi="Arial"/>
          <w:b/>
          <w:bCs/>
          <w:sz w:val="20"/>
          <w:szCs w:val="20"/>
        </w:rPr>
        <w:t xml:space="preserve">Norma original: </w:t>
      </w:r>
      <w:r>
        <w:rPr>
          <w:rFonts w:ascii="Arial" w:cs="Arial" w:eastAsia="Arial" w:hAnsi="Arial"/>
          <w:sz w:val="20"/>
          <w:szCs w:val="20"/>
        </w:rPr>
        <w:t xml:space="preserve">promulgada el 18 de junio de 2008, publicada el 30 de junio de 2008.</w:t>
      </w:r>
    </w:p>
    <w:p>
      <w:pPr>
        <w:spacing w:after="120"/>
      </w:pPr>
      <w:r>
        <w:rPr>
          <w:rFonts w:ascii="Arial" w:cs="Arial" w:eastAsia="Arial" w:hAnsi="Arial"/>
          <w:b/>
          <w:bCs/>
          <w:sz w:val="20"/>
          <w:szCs w:val="20"/>
        </w:rPr>
        <w:t xml:space="preserve">Fuente: </w:t>
      </w:r>
      <w:r>
        <w:rPr>
          <w:rFonts w:ascii="Arial" w:cs="Arial" w:eastAsia="Arial" w:hAnsi="Arial"/>
          <w:sz w:val="20"/>
          <w:szCs w:val="20"/>
        </w:rPr>
        <w:t xml:space="preserve">https://www.impo.com.uy/bases/leyes/18308-2008</w:t>
      </w:r>
    </w:p>
    <w:p>
      <w:pPr>
        <w:spacing w:after="120"/>
      </w:pPr>
      <w:r>
        <w:rPr>
          <w:rFonts w:ascii="Arial" w:cs="Arial" w:eastAsia="Arial" w:hAnsi="Arial"/>
          <w:b/>
          <w:bCs/>
          <w:sz w:val="20"/>
          <w:szCs w:val="20"/>
        </w:rPr>
        <w:t xml:space="preserve">Esta edición: </w:t>
      </w:r>
      <w:r>
        <w:rPr>
          <w:rFonts w:ascii="Arial" w:cs="Arial" w:eastAsia="Arial" w:hAnsi="Arial"/>
          <w:sz w:val="20"/>
          <w:szCs w:val="20"/>
        </w:rPr>
        <w:t xml:space="preserve">https://www.textovigente.com/ley-18308/ · descargado el 27 de octubre de 2026</w:t>
      </w:r>
    </w:p>
    <w:p>
      <w:pPr>
        <w:spacing w:before="600"/>
      </w:pPr>
    </w:p>
    <w:p>
      <w:pPr>
        <w:spacing w:after="120" w:before="120"/>
        <w:jc w:val="both"/>
      </w:pPr>
      <w:r>
        <w:rPr>
          <w:rFonts w:ascii="Arial" w:cs="Arial" w:eastAsia="Arial" w:hAnsi="Arial"/>
          <w:b/>
          <w:bCs/>
          <w:color w:val="555555"/>
          <w:sz w:val="18"/>
          <w:szCs w:val="18"/>
        </w:rPr>
        <w:t xml:space="preserve">Fuente y licencia. </w:t>
      </w:r>
      <w:r>
        <w:rPr>
          <w:rFonts w:ascii="Arial" w:cs="Arial" w:eastAsia="Arial" w:hAnsi="Arial"/>
          <w:color w:val="555555"/>
          <w:sz w:val="18"/>
          <w:szCs w:val="18"/>
        </w:rPr>
        <w:t xml:space="preserve">Texto tomado del Banco de Datos Jurídico Normativo de IMPO (Dirección Nacional de Impresiones y Publicaciones Oficiales), publicado bajo Licencia de Datos Abiertos – Uruguay. Conjunto de datos: https://www.impo.com.uy/bases/leyes/18308-2008?json=true</w:t>
      </w:r>
    </w:p>
    <w:p>
      <w:pPr>
        <w:spacing w:after="120" w:before="120"/>
        <w:jc w:val="both"/>
      </w:pPr>
      <w:r>
        <w:rPr>
          <w:rFonts w:ascii="Arial" w:cs="Arial" w:eastAsia="Arial" w:hAnsi="Arial"/>
          <w:b/>
          <w:bCs/>
          <w:color w:val="555555"/>
          <w:sz w:val="18"/>
          <w:szCs w:val="18"/>
        </w:rPr>
        <w:t xml:space="preserve">Cambios introducidos por Texto Vigente. </w:t>
      </w:r>
      <w:r>
        <w:rPr>
          <w:rFonts w:ascii="Arial" w:cs="Arial" w:eastAsia="Arial" w:hAnsi="Arial"/>
          <w:color w:val="555555"/>
          <w:sz w:val="18"/>
          <w:szCs w:val="18"/>
        </w:rPr>
        <w:t xml:space="preserve">Se reagrupan los artículos bajo sus encabezados de estructura, se recomponen los párrafos que la fuente entrega cortados a ancho fijo y se normaliza la tipografía. No se altera el contenido: no se añaden, suprimen ni reescriben disposiciones.</w:t>
      </w:r>
    </w:p>
    <w:p>
      <w:pPr>
        <w:spacing w:after="120" w:before="120"/>
        <w:jc w:val="both"/>
      </w:pPr>
      <w:r>
        <w:rPr>
          <w:rFonts w:ascii="Arial" w:cs="Arial" w:eastAsia="Arial" w:hAnsi="Arial"/>
          <w:b/>
          <w:bCs/>
          <w:color w:val="555555"/>
          <w:sz w:val="18"/>
          <w:szCs w:val="18"/>
        </w:rPr>
        <w:t xml:space="preserve">No es texto oficial. </w:t>
      </w:r>
      <w:r>
        <w:rPr>
          <w:rFonts w:ascii="Arial" w:cs="Arial" w:eastAsia="Arial" w:hAnsi="Arial"/>
          <w:color w:val="555555"/>
          <w:sz w:val="18"/>
          <w:szCs w:val="18"/>
        </w:rPr>
        <w:t xml:space="preserve">Ante cualquier discrepancia prevalece el Diario Oficial. Esta edición no sustituye la consulta de la fuente oficial ni el asesoramiento profesional.</w:t>
      </w:r>
    </w:p>
    <w:p>
      <w:r>
        <w:br w:type="page"/>
      </w:r>
    </w:p>
    <w:p>
      <w:pPr>
        <w:sectPr>
          <w:pgSz w:w="11906" w:h="16838" w:orient="portrait"/>
          <w:pgMar w:top="1418" w:right="1418" w:bottom="1418" w:left="1418" w:header="708" w:footer="708" w:gutter="0"/>
          <w:pgNumType/>
          <w:docGrid w:linePitch="360"/>
        </w:sectPr>
      </w:pPr>
    </w:p>
    <w:p>
      <w:pPr>
        <w:pStyle w:val="Heading1"/>
      </w:pPr>
      <w:r>
        <w:t xml:space="preserve">Índice</w:t>
      </w:r>
    </w:p>
    <w:sdt>
      <w:sdtPr>
        <w:alias w:val="Índice"/>
      </w:sdtPr>
      <w:sdtContent>
        <w:p>
          <w:r>
            <w:fldChar w:fldCharType="begin" w:dirty="true"/>
            <w:instrText xml:space="preserve">TOC \h \o "1-4"</w:instrText>
            <w:fldChar w:fldCharType="separate"/>
          </w:r>
        </w:p>
        <w:p>
          <w:r>
            <w:fldChar w:fldCharType="end"/>
          </w:r>
        </w:p>
      </w:sdtContent>
    </w:sdt>
    <w:p>
      <w:r>
        <w:br w:type="page"/>
      </w:r>
    </w:p>
    <w:p>
      <w:pPr>
        <w:pStyle w:val="Heading2"/>
      </w:pPr>
      <w:r>
        <w:t xml:space="preserve">TÍTULO I - DISPOSICIONES GENERALES DEL ORDENAMIENTO TERRITORIAL</w:t>
      </w:r>
    </w:p>
    <w:p>
      <w:pPr>
        <w:pStyle w:val="Articulo"/>
        <w:keepNext/>
        <w:spacing w:after="120" w:before="280"/>
      </w:pPr>
      <w:r>
        <w:rPr>
          <w:rFonts w:ascii="Arial" w:cs="Arial" w:eastAsia="Arial" w:hAnsi="Arial"/>
          <w:b/>
          <w:bCs/>
          <w:color w:val="14213D"/>
          <w:sz w:val="22"/>
          <w:szCs w:val="22"/>
        </w:rPr>
        <w:t xml:space="preserve">Artículo 1</w:t>
      </w:r>
      <w:r>
        <w:rPr>
          <w:rFonts w:ascii="Arial" w:cs="Arial" w:eastAsia="Arial" w:hAnsi="Arial"/>
          <w:color w:val="555555"/>
          <w:sz w:val="22"/>
          <w:szCs w:val="22"/>
        </w:rPr>
        <w:t xml:space="preserve"> · Objeto</w:t>
      </w:r>
    </w:p>
    <w:p>
      <w:pPr>
        <w:spacing w:after="120"/>
        <w:jc w:val="both"/>
      </w:pPr>
      <w:r>
        <w:rPr>
          <w:sz w:val="22"/>
          <w:szCs w:val="22"/>
        </w:rPr>
        <w:t xml:space="preserve">(Objeto).- La presente ley establece el marco regulador general para el ordenamiento territorial y desarrollo sostenible, sin perjuicio de las demás normas aplicables y de las regulaciones, que por remisión de ésta, establezcan el Poder Ejecutivo y los Gobiernos Departamentales. A tal fin:</w:t>
      </w:r>
    </w:p>
    <w:p>
      <w:pPr>
        <w:spacing w:after="120"/>
        <w:ind w:left="567"/>
        <w:jc w:val="both"/>
      </w:pPr>
      <w:r>
        <w:rPr>
          <w:sz w:val="22"/>
          <w:szCs w:val="22"/>
        </w:rPr>
        <w:t xml:space="preserve">a) Define las competencias e instrumentos de planificación,</w:t>
      </w:r>
    </w:p>
    <w:p>
      <w:pPr>
        <w:spacing w:after="120"/>
        <w:jc w:val="both"/>
      </w:pPr>
      <w:r>
        <w:rPr>
          <w:sz w:val="22"/>
          <w:szCs w:val="22"/>
        </w:rPr>
        <w:t xml:space="preserve">participación y actuación en la materia.</w:t>
      </w:r>
    </w:p>
    <w:p>
      <w:pPr>
        <w:spacing w:after="120"/>
        <w:ind w:left="567"/>
        <w:jc w:val="both"/>
      </w:pPr>
      <w:r>
        <w:rPr>
          <w:sz w:val="22"/>
          <w:szCs w:val="22"/>
        </w:rPr>
        <w:t xml:space="preserve">b) Orienta el proceso de ordenamiento del territorio hacia la</w:t>
      </w:r>
    </w:p>
    <w:p>
      <w:pPr>
        <w:spacing w:after="120"/>
        <w:jc w:val="both"/>
      </w:pPr>
      <w:r>
        <w:rPr>
          <w:sz w:val="22"/>
          <w:szCs w:val="22"/>
        </w:rPr>
        <w:t xml:space="preserve">consecución de objetivos de interés nacional y general.</w:t>
      </w:r>
    </w:p>
    <w:p>
      <w:pPr>
        <w:spacing w:after="120"/>
        <w:ind w:left="567"/>
        <w:jc w:val="both"/>
      </w:pPr>
      <w:r>
        <w:rPr>
          <w:sz w:val="22"/>
          <w:szCs w:val="22"/>
        </w:rPr>
        <w:t xml:space="preserve">c) Diseña los instrumentos de ejecución de los planes y de actuación</w:t>
      </w:r>
    </w:p>
    <w:p>
      <w:pPr>
        <w:spacing w:after="120"/>
        <w:jc w:val="both"/>
      </w:pPr>
      <w:r>
        <w:rPr>
          <w:sz w:val="22"/>
          <w:szCs w:val="22"/>
        </w:rPr>
        <w:t xml:space="preserve">territorial.</w:t>
      </w:r>
    </w:p>
    <w:p>
      <w:pPr>
        <w:pStyle w:val="Articulo"/>
        <w:keepNext/>
        <w:spacing w:after="120" w:before="280"/>
      </w:pPr>
      <w:r>
        <w:rPr>
          <w:rFonts w:ascii="Arial" w:cs="Arial" w:eastAsia="Arial" w:hAnsi="Arial"/>
          <w:b/>
          <w:bCs/>
          <w:color w:val="14213D"/>
          <w:sz w:val="22"/>
          <w:szCs w:val="22"/>
        </w:rPr>
        <w:t xml:space="preserve">Artículo 2</w:t>
      </w:r>
      <w:r>
        <w:rPr>
          <w:rFonts w:ascii="Arial" w:cs="Arial" w:eastAsia="Arial" w:hAnsi="Arial"/>
          <w:color w:val="555555"/>
          <w:sz w:val="22"/>
          <w:szCs w:val="22"/>
        </w:rPr>
        <w:t xml:space="preserve"> · Declaración de interés general, naturaleza y alcance</w:t>
      </w:r>
    </w:p>
    <w:p>
      <w:pPr>
        <w:spacing w:after="120"/>
        <w:jc w:val="both"/>
      </w:pPr>
      <w:r>
        <w:rPr>
          <w:sz w:val="22"/>
          <w:szCs w:val="22"/>
        </w:rPr>
        <w:t xml:space="preserve">(Declaración de interés general, naturaleza y alcance).- Declárase de interés general el ordenamiento del territorio y de las zonas sobre las que la República ejerce su soberanía y jurisdicción.</w:t>
      </w:r>
    </w:p>
    <w:p>
      <w:pPr>
        <w:spacing w:after="120"/>
        <w:jc w:val="both"/>
      </w:pPr>
      <w:r>
        <w:rPr>
          <w:sz w:val="22"/>
          <w:szCs w:val="22"/>
        </w:rPr>
        <w:t xml:space="preserve">Los instrumentos de ordenamiento territorial son de orden público y obligatorios en los términos establecidos en la presente ley. Sus determinaciones serán vinculantes para los planes, proyectos y actuaciones de las instituciones públicas, entes y servicios del Estado y de los particulares.</w:t>
      </w:r>
    </w:p>
    <w:p>
      <w:pPr>
        <w:spacing w:after="120"/>
        <w:jc w:val="both"/>
      </w:pPr>
      <w:r>
        <w:rPr>
          <w:sz w:val="22"/>
          <w:szCs w:val="22"/>
        </w:rPr>
        <w:t xml:space="preserve">El ordenamiento territorial es cometido esencial del Estado y sus disposiciones son de orden público.</w:t>
      </w:r>
    </w:p>
    <w:p>
      <w:pPr>
        <w:pStyle w:val="Articulo"/>
        <w:keepNext/>
        <w:spacing w:after="120" w:before="280"/>
      </w:pPr>
      <w:r>
        <w:rPr>
          <w:rFonts w:ascii="Arial" w:cs="Arial" w:eastAsia="Arial" w:hAnsi="Arial"/>
          <w:b/>
          <w:bCs/>
          <w:color w:val="14213D"/>
          <w:sz w:val="22"/>
          <w:szCs w:val="22"/>
        </w:rPr>
        <w:t xml:space="preserve">Artículo 3</w:t>
      </w:r>
      <w:r>
        <w:rPr>
          <w:rFonts w:ascii="Arial" w:cs="Arial" w:eastAsia="Arial" w:hAnsi="Arial"/>
          <w:color w:val="555555"/>
          <w:sz w:val="22"/>
          <w:szCs w:val="22"/>
        </w:rPr>
        <w:t xml:space="preserve"> · Concepto y finalidad</w:t>
      </w:r>
    </w:p>
    <w:p>
      <w:pPr>
        <w:spacing w:after="120"/>
        <w:jc w:val="both"/>
      </w:pPr>
      <w:r>
        <w:rPr>
          <w:sz w:val="22"/>
          <w:szCs w:val="22"/>
        </w:rPr>
        <w:t xml:space="preserve">(Concepto y finalidad).- A los efectos de la presente ley, el ordenamiento territorial es el conjunto de acciones transversales del Estado que tienen por finalidad mantener y mejorar la calidad de vida de la población, la integración social en el territorio y el uso y aprovechamiento ambientalmente sustentable y democrático de los recursos naturales y culturales.</w:t>
      </w:r>
    </w:p>
    <w:p>
      <w:pPr>
        <w:spacing w:after="120"/>
        <w:jc w:val="both"/>
      </w:pPr>
      <w:r>
        <w:rPr>
          <w:sz w:val="22"/>
          <w:szCs w:val="22"/>
        </w:rPr>
        <w:t xml:space="preserve">El ordenamiento territorial es una función pública que se ejerce a través de un sistema integrado de directrices, programas, planes y actuaciones de las instituciones del Estado con competencia a fin de organizar el uso del territorio.</w:t>
      </w:r>
    </w:p>
    <w:p>
      <w:pPr>
        <w:spacing w:after="120"/>
        <w:jc w:val="both"/>
      </w:pPr>
      <w:r>
        <w:rPr>
          <w:sz w:val="22"/>
          <w:szCs w:val="22"/>
        </w:rPr>
        <w:t xml:space="preserve">Para ello, reconoce la concurrencia de competencias e intereses, genera instrumentos de promoción y regulación de las actuaciones y procesos de ocupación, transformación y uso del territorio.</w:t>
      </w:r>
    </w:p>
    <w:p>
      <w:pPr>
        <w:pStyle w:val="Articulo"/>
        <w:keepNext/>
        <w:spacing w:after="120" w:before="280"/>
      </w:pPr>
      <w:r>
        <w:rPr>
          <w:rFonts w:ascii="Arial" w:cs="Arial" w:eastAsia="Arial" w:hAnsi="Arial"/>
          <w:b/>
          <w:bCs/>
          <w:color w:val="14213D"/>
          <w:sz w:val="22"/>
          <w:szCs w:val="22"/>
        </w:rPr>
        <w:t xml:space="preserve">Artículo 4</w:t>
      </w:r>
      <w:r>
        <w:rPr>
          <w:rFonts w:ascii="Arial" w:cs="Arial" w:eastAsia="Arial" w:hAnsi="Arial"/>
          <w:color w:val="555555"/>
          <w:sz w:val="22"/>
          <w:szCs w:val="22"/>
        </w:rPr>
        <w:t xml:space="preserve"> · Materia del ordenamiento territorial</w:t>
      </w:r>
    </w:p>
    <w:p>
      <w:pPr>
        <w:spacing w:after="120"/>
        <w:jc w:val="both"/>
      </w:pPr>
      <w:r>
        <w:rPr>
          <w:sz w:val="22"/>
          <w:szCs w:val="22"/>
        </w:rPr>
        <w:t xml:space="preserve">(Materia del ordenamiento territorial).- El ordenamiento territorial y desarrollo sostenible comprende:</w:t>
      </w:r>
    </w:p>
    <w:p>
      <w:pPr>
        <w:spacing w:after="120"/>
        <w:ind w:left="567"/>
        <w:jc w:val="both"/>
      </w:pPr>
      <w:r>
        <w:rPr>
          <w:sz w:val="22"/>
          <w:szCs w:val="22"/>
        </w:rPr>
        <w:t xml:space="preserve">a) La definición de estrategias de desarrollo sostenible, uso y manejo</w:t>
      </w:r>
    </w:p>
    <w:p>
      <w:pPr>
        <w:spacing w:after="120"/>
        <w:jc w:val="both"/>
      </w:pPr>
      <w:r>
        <w:rPr>
          <w:sz w:val="22"/>
          <w:szCs w:val="22"/>
        </w:rPr>
        <w:t xml:space="preserve">del territorio en función de objetivos sociales, económicos,</w:t>
      </w:r>
    </w:p>
    <w:p>
      <w:pPr>
        <w:spacing w:after="120"/>
        <w:jc w:val="both"/>
      </w:pPr>
      <w:r>
        <w:rPr>
          <w:sz w:val="22"/>
          <w:szCs w:val="22"/>
        </w:rPr>
        <w:t xml:space="preserve">urbanísticos y ecológicos, a través de la planificación.</w:t>
      </w:r>
    </w:p>
    <w:p>
      <w:pPr>
        <w:spacing w:after="120"/>
        <w:ind w:left="567"/>
        <w:jc w:val="both"/>
      </w:pPr>
      <w:r>
        <w:rPr>
          <w:sz w:val="22"/>
          <w:szCs w:val="22"/>
        </w:rPr>
        <w:t xml:space="preserve">b) El establecimiento de criterios para la localización de las</w:t>
      </w:r>
    </w:p>
    <w:p>
      <w:pPr>
        <w:spacing w:after="120"/>
        <w:jc w:val="both"/>
      </w:pPr>
      <w:r>
        <w:rPr>
          <w:sz w:val="22"/>
          <w:szCs w:val="22"/>
        </w:rPr>
        <w:t xml:space="preserve">actividades económicas y sociales.</w:t>
      </w:r>
    </w:p>
    <w:p>
      <w:pPr>
        <w:spacing w:after="120"/>
        <w:ind w:left="567"/>
        <w:jc w:val="both"/>
      </w:pPr>
      <w:r>
        <w:rPr>
          <w:sz w:val="22"/>
          <w:szCs w:val="22"/>
        </w:rPr>
        <w:t xml:space="preserve">c) La identificación y definición de áreas bajo régimen de</w:t>
      </w:r>
    </w:p>
    <w:p>
      <w:pPr>
        <w:spacing w:after="120"/>
        <w:jc w:val="both"/>
      </w:pPr>
      <w:r>
        <w:rPr>
          <w:sz w:val="22"/>
          <w:szCs w:val="22"/>
        </w:rPr>
        <w:t xml:space="preserve">Administración especial de protección, por su interés ecológico,</w:t>
      </w:r>
    </w:p>
    <w:p>
      <w:pPr>
        <w:spacing w:after="120"/>
        <w:jc w:val="both"/>
      </w:pPr>
      <w:r>
        <w:rPr>
          <w:sz w:val="22"/>
          <w:szCs w:val="22"/>
        </w:rPr>
        <w:t xml:space="preserve">patrimonial, paisajístico, cultural y de conservación del medio</w:t>
      </w:r>
    </w:p>
    <w:p>
      <w:pPr>
        <w:spacing w:after="120"/>
        <w:jc w:val="both"/>
      </w:pPr>
      <w:r>
        <w:rPr>
          <w:sz w:val="22"/>
          <w:szCs w:val="22"/>
        </w:rPr>
        <w:t xml:space="preserve">ambiente y los recursos naturales.</w:t>
      </w:r>
    </w:p>
    <w:p>
      <w:pPr>
        <w:spacing w:after="120"/>
        <w:ind w:left="567"/>
        <w:jc w:val="both"/>
      </w:pPr>
      <w:r>
        <w:rPr>
          <w:sz w:val="22"/>
          <w:szCs w:val="22"/>
        </w:rPr>
        <w:t xml:space="preserve">d) La identificación de zonas de riesgo por la existencia de fenómenos</w:t>
      </w:r>
    </w:p>
    <w:p>
      <w:pPr>
        <w:spacing w:after="120"/>
        <w:jc w:val="both"/>
      </w:pPr>
      <w:r>
        <w:rPr>
          <w:sz w:val="22"/>
          <w:szCs w:val="22"/>
        </w:rPr>
        <w:t xml:space="preserve">naturales o de instalaciones peligrosas para asentamientos humanos.</w:t>
      </w:r>
    </w:p>
    <w:p>
      <w:pPr>
        <w:spacing w:after="120"/>
        <w:ind w:left="567"/>
        <w:jc w:val="both"/>
      </w:pPr>
      <w:r>
        <w:rPr>
          <w:sz w:val="22"/>
          <w:szCs w:val="22"/>
        </w:rPr>
        <w:t xml:space="preserve">e) La definición de equipamiento e infraestructuras y de estrategias</w:t>
      </w:r>
    </w:p>
    <w:p>
      <w:pPr>
        <w:spacing w:after="120"/>
        <w:jc w:val="both"/>
      </w:pPr>
      <w:r>
        <w:rPr>
          <w:sz w:val="22"/>
          <w:szCs w:val="22"/>
        </w:rPr>
        <w:t xml:space="preserve">de consolidación del sistema de asentamientos humanos.</w:t>
      </w:r>
    </w:p>
    <w:p>
      <w:pPr>
        <w:spacing w:after="120"/>
        <w:ind w:left="567"/>
        <w:jc w:val="both"/>
      </w:pPr>
      <w:r>
        <w:rPr>
          <w:sz w:val="22"/>
          <w:szCs w:val="22"/>
        </w:rPr>
        <w:t xml:space="preserve">f) La previsión de territorio a los fines y usos previstos en los planes.</w:t>
      </w:r>
    </w:p>
    <w:p>
      <w:pPr>
        <w:spacing w:after="120"/>
        <w:ind w:left="567"/>
        <w:jc w:val="both"/>
      </w:pPr>
      <w:r>
        <w:rPr>
          <w:sz w:val="22"/>
          <w:szCs w:val="22"/>
        </w:rPr>
        <w:t xml:space="preserve">g) El diseño y adopción de instrumentos y procedimientos de gestión</w:t>
      </w:r>
    </w:p>
    <w:p>
      <w:pPr>
        <w:spacing w:after="120"/>
        <w:jc w:val="both"/>
      </w:pPr>
      <w:r>
        <w:rPr>
          <w:sz w:val="22"/>
          <w:szCs w:val="22"/>
        </w:rPr>
        <w:t xml:space="preserve">que promuevan la planificación del territorio.</w:t>
      </w:r>
    </w:p>
    <w:p>
      <w:pPr>
        <w:spacing w:after="120"/>
        <w:ind w:left="567"/>
        <w:jc w:val="both"/>
      </w:pPr>
      <w:r>
        <w:rPr>
          <w:sz w:val="22"/>
          <w:szCs w:val="22"/>
        </w:rPr>
        <w:t xml:space="preserve">h) La elaboración e instrumentación de programas, proyectos y</w:t>
      </w:r>
    </w:p>
    <w:p>
      <w:pPr>
        <w:spacing w:after="120"/>
        <w:jc w:val="both"/>
      </w:pPr>
      <w:r>
        <w:rPr>
          <w:sz w:val="22"/>
          <w:szCs w:val="22"/>
        </w:rPr>
        <w:t xml:space="preserve">actuaciones con incidencia territorial.</w:t>
      </w:r>
    </w:p>
    <w:p>
      <w:pPr>
        <w:spacing w:after="120"/>
        <w:ind w:left="567"/>
        <w:jc w:val="both"/>
      </w:pPr>
      <w:r>
        <w:rPr>
          <w:sz w:val="22"/>
          <w:szCs w:val="22"/>
        </w:rPr>
        <w:t xml:space="preserve">i) La promoción de estudios para la identificación y análisis de los</w:t>
      </w:r>
    </w:p>
    <w:p>
      <w:pPr>
        <w:spacing w:after="120"/>
        <w:jc w:val="both"/>
      </w:pPr>
      <w:r>
        <w:rPr>
          <w:sz w:val="22"/>
          <w:szCs w:val="22"/>
        </w:rPr>
        <w:t xml:space="preserve">procesos políticos, sociales y económicos de los que derivan las</w:t>
      </w:r>
    </w:p>
    <w:p>
      <w:pPr>
        <w:spacing w:after="120"/>
        <w:jc w:val="both"/>
      </w:pPr>
      <w:r>
        <w:rPr>
          <w:sz w:val="22"/>
          <w:szCs w:val="22"/>
        </w:rPr>
        <w:t xml:space="preserve">modalidades de ocupación y ordenamiento del territorio.</w:t>
      </w:r>
    </w:p>
    <w:p>
      <w:pPr>
        <w:pStyle w:val="Articulo"/>
        <w:keepNext/>
        <w:spacing w:after="120" w:before="280"/>
      </w:pPr>
      <w:r>
        <w:rPr>
          <w:rFonts w:ascii="Arial" w:cs="Arial" w:eastAsia="Arial" w:hAnsi="Arial"/>
          <w:b/>
          <w:bCs/>
          <w:color w:val="14213D"/>
          <w:sz w:val="22"/>
          <w:szCs w:val="22"/>
        </w:rPr>
        <w:t xml:space="preserve">Artículo 5</w:t>
      </w:r>
      <w:r>
        <w:rPr>
          <w:rFonts w:ascii="Arial" w:cs="Arial" w:eastAsia="Arial" w:hAnsi="Arial"/>
          <w:color w:val="555555"/>
          <w:sz w:val="22"/>
          <w:szCs w:val="22"/>
        </w:rPr>
        <w:t xml:space="preserve"> · Principios rectores del ordenamiento territorial</w:t>
      </w:r>
    </w:p>
    <w:p>
      <w:pPr>
        <w:spacing w:after="120"/>
        <w:jc w:val="both"/>
      </w:pPr>
      <w:r>
        <w:rPr>
          <w:sz w:val="22"/>
          <w:szCs w:val="22"/>
        </w:rPr>
        <w:t xml:space="preserve">(Principios rectores del ordenamiento territorial).- Son principios rectores del ordenamiento territorial y desarrollo sostenible:</w:t>
      </w:r>
    </w:p>
    <w:p>
      <w:pPr>
        <w:spacing w:after="120"/>
        <w:ind w:left="567"/>
        <w:jc w:val="both"/>
      </w:pPr>
      <w:r>
        <w:rPr>
          <w:sz w:val="22"/>
          <w:szCs w:val="22"/>
        </w:rPr>
        <w:t xml:space="preserve">a) La adopción de las decisiones y las actuaciones sobre el territorio</w:t>
      </w:r>
    </w:p>
    <w:p>
      <w:pPr>
        <w:spacing w:after="120"/>
        <w:jc w:val="both"/>
      </w:pPr>
      <w:r>
        <w:rPr>
          <w:sz w:val="22"/>
          <w:szCs w:val="22"/>
        </w:rPr>
        <w:t xml:space="preserve">a través de la planificación ambientalmente sustentable, con equidad</w:t>
      </w:r>
    </w:p>
    <w:p>
      <w:pPr>
        <w:spacing w:after="120"/>
        <w:jc w:val="both"/>
      </w:pPr>
      <w:r>
        <w:rPr>
          <w:sz w:val="22"/>
          <w:szCs w:val="22"/>
        </w:rPr>
        <w:t xml:space="preserve">social y cohesión territorial.</w:t>
      </w:r>
    </w:p>
    <w:p>
      <w:pPr>
        <w:spacing w:after="120"/>
        <w:ind w:left="567"/>
        <w:jc w:val="both"/>
      </w:pPr>
      <w:r>
        <w:rPr>
          <w:sz w:val="22"/>
          <w:szCs w:val="22"/>
        </w:rPr>
        <w:t xml:space="preserve">b) La coordinación y cooperación entre sí, sin perjuicio de las</w:t>
      </w:r>
    </w:p>
    <w:p>
      <w:pPr>
        <w:spacing w:after="120"/>
        <w:jc w:val="both"/>
      </w:pPr>
      <w:r>
        <w:rPr>
          <w:sz w:val="22"/>
          <w:szCs w:val="22"/>
        </w:rPr>
        <w:t xml:space="preserve">competencias atribuidas a cada una, de las entidades públicas que</w:t>
      </w:r>
    </w:p>
    <w:p>
      <w:pPr>
        <w:spacing w:after="120"/>
        <w:jc w:val="both"/>
      </w:pPr>
      <w:r>
        <w:rPr>
          <w:sz w:val="22"/>
          <w:szCs w:val="22"/>
        </w:rPr>
        <w:t xml:space="preserve">intervienen en los procesos de ordenamiento del territorio y el fomento</w:t>
      </w:r>
    </w:p>
    <w:p>
      <w:pPr>
        <w:spacing w:after="120"/>
        <w:jc w:val="both"/>
      </w:pPr>
      <w:r>
        <w:rPr>
          <w:sz w:val="22"/>
          <w:szCs w:val="22"/>
        </w:rPr>
        <w:t xml:space="preserve">de la concertación entre el sector público, el privado y el social.</w:t>
      </w:r>
    </w:p>
    <w:p>
      <w:pPr>
        <w:spacing w:after="120"/>
        <w:ind w:left="567"/>
        <w:jc w:val="both"/>
      </w:pPr>
      <w:r>
        <w:rPr>
          <w:sz w:val="22"/>
          <w:szCs w:val="22"/>
        </w:rPr>
        <w:t xml:space="preserve">c) La descentralización de la actividad de ordenamiento territorial y</w:t>
      </w:r>
    </w:p>
    <w:p>
      <w:pPr>
        <w:spacing w:after="120"/>
        <w:jc w:val="both"/>
      </w:pPr>
      <w:r>
        <w:rPr>
          <w:sz w:val="22"/>
          <w:szCs w:val="22"/>
        </w:rPr>
        <w:t xml:space="preserve">la promoción del desarrollo local y regional, poniendo en valor los</w:t>
      </w:r>
    </w:p>
    <w:p>
      <w:pPr>
        <w:spacing w:after="120"/>
        <w:jc w:val="both"/>
      </w:pPr>
      <w:r>
        <w:rPr>
          <w:sz w:val="22"/>
          <w:szCs w:val="22"/>
        </w:rPr>
        <w:t xml:space="preserve">recursos naturales, construidos y sociales presentes en el territorio.</w:t>
      </w:r>
    </w:p>
    <w:p>
      <w:pPr>
        <w:spacing w:after="120"/>
        <w:ind w:left="567"/>
        <w:jc w:val="both"/>
      </w:pPr>
      <w:r>
        <w:rPr>
          <w:sz w:val="22"/>
          <w:szCs w:val="22"/>
        </w:rPr>
        <w:t xml:space="preserve">d) La promoción de la participación ciudadana en los procesos de</w:t>
      </w:r>
    </w:p>
    <w:p>
      <w:pPr>
        <w:spacing w:after="120"/>
        <w:jc w:val="both"/>
      </w:pPr>
      <w:r>
        <w:rPr>
          <w:sz w:val="22"/>
          <w:szCs w:val="22"/>
        </w:rPr>
        <w:t xml:space="preserve">elaboración, implementación, seguimiento, evaluación y revisión de los</w:t>
      </w:r>
    </w:p>
    <w:p>
      <w:pPr>
        <w:spacing w:after="120"/>
        <w:jc w:val="both"/>
      </w:pPr>
      <w:r>
        <w:rPr>
          <w:sz w:val="22"/>
          <w:szCs w:val="22"/>
        </w:rPr>
        <w:t xml:space="preserve">instrumentos de ordenamiento territorial.</w:t>
      </w:r>
    </w:p>
    <w:p>
      <w:pPr>
        <w:spacing w:after="120"/>
        <w:ind w:left="567"/>
        <w:jc w:val="both"/>
      </w:pPr>
      <w:r>
        <w:rPr>
          <w:sz w:val="22"/>
          <w:szCs w:val="22"/>
        </w:rPr>
        <w:t xml:space="preserve">e) La distribución equitativa de las cargas y beneficios del proceso</w:t>
      </w:r>
    </w:p>
    <w:p>
      <w:pPr>
        <w:spacing w:after="120"/>
        <w:jc w:val="both"/>
      </w:pPr>
      <w:r>
        <w:rPr>
          <w:sz w:val="22"/>
          <w:szCs w:val="22"/>
        </w:rPr>
        <w:t xml:space="preserve">urbanizador entre los actores públicos y privados.</w:t>
      </w:r>
    </w:p>
    <w:p>
      <w:pPr>
        <w:spacing w:after="120"/>
        <w:ind w:left="567"/>
        <w:jc w:val="both"/>
      </w:pPr>
      <w:r>
        <w:rPr>
          <w:sz w:val="22"/>
          <w:szCs w:val="22"/>
        </w:rPr>
        <w:t xml:space="preserve">f) La recuperación de los mayores valores inmobiliarios generados por</w:t>
      </w:r>
    </w:p>
    <w:p>
      <w:pPr>
        <w:spacing w:after="120"/>
        <w:jc w:val="both"/>
      </w:pPr>
      <w:r>
        <w:rPr>
          <w:sz w:val="22"/>
          <w:szCs w:val="22"/>
        </w:rPr>
        <w:t xml:space="preserve">el ordenamiento del territorio.</w:t>
      </w:r>
    </w:p>
    <w:p>
      <w:pPr>
        <w:spacing w:after="120"/>
        <w:ind w:left="567"/>
        <w:jc w:val="both"/>
      </w:pPr>
      <w:r>
        <w:rPr>
          <w:sz w:val="22"/>
          <w:szCs w:val="22"/>
        </w:rPr>
        <w:t xml:space="preserve">g) La conciliación del desarrollo económico, la sustentabilidad</w:t>
      </w:r>
    </w:p>
    <w:p>
      <w:pPr>
        <w:spacing w:after="120"/>
        <w:jc w:val="both"/>
      </w:pPr>
      <w:r>
        <w:rPr>
          <w:sz w:val="22"/>
          <w:szCs w:val="22"/>
        </w:rPr>
        <w:t xml:space="preserve">ambiental y la equidad social, con objetivos de desarrollo integral,</w:t>
      </w:r>
    </w:p>
    <w:p>
      <w:pPr>
        <w:spacing w:after="120"/>
        <w:jc w:val="both"/>
      </w:pPr>
      <w:r>
        <w:rPr>
          <w:sz w:val="22"/>
          <w:szCs w:val="22"/>
        </w:rPr>
        <w:t xml:space="preserve">sostenible y cohesionado del territorio, compatibilizando una</w:t>
      </w:r>
    </w:p>
    <w:p>
      <w:pPr>
        <w:spacing w:after="120"/>
        <w:jc w:val="both"/>
      </w:pPr>
      <w:r>
        <w:rPr>
          <w:sz w:val="22"/>
          <w:szCs w:val="22"/>
        </w:rPr>
        <w:t xml:space="preserve">equilibrada distribución espacial de los usos y actividades y el máximo</w:t>
      </w:r>
    </w:p>
    <w:p>
      <w:pPr>
        <w:spacing w:after="120"/>
        <w:jc w:val="both"/>
      </w:pPr>
      <w:r>
        <w:rPr>
          <w:sz w:val="22"/>
          <w:szCs w:val="22"/>
        </w:rPr>
        <w:t xml:space="preserve">aprovechamiento de las infraestructuras y servicios existentes.</w:t>
      </w:r>
    </w:p>
    <w:p>
      <w:pPr>
        <w:spacing w:after="120"/>
        <w:ind w:left="567"/>
        <w:jc w:val="both"/>
      </w:pPr>
      <w:r>
        <w:rPr>
          <w:sz w:val="22"/>
          <w:szCs w:val="22"/>
        </w:rPr>
        <w:t xml:space="preserve">h) El desarrollo de objetivos estratégicos y de contenido social y</w:t>
      </w:r>
    </w:p>
    <w:p>
      <w:pPr>
        <w:spacing w:after="120"/>
        <w:jc w:val="both"/>
      </w:pPr>
      <w:r>
        <w:rPr>
          <w:sz w:val="22"/>
          <w:szCs w:val="22"/>
        </w:rPr>
        <w:t xml:space="preserve">económico solidarios, que resulten compatibles con la conservación de</w:t>
      </w:r>
    </w:p>
    <w:p>
      <w:pPr>
        <w:spacing w:after="120"/>
        <w:jc w:val="both"/>
      </w:pPr>
      <w:r>
        <w:rPr>
          <w:sz w:val="22"/>
          <w:szCs w:val="22"/>
        </w:rPr>
        <w:t xml:space="preserve">los recursos naturales y el patrimonio cultural y la protección de los</w:t>
      </w:r>
    </w:p>
    <w:p>
      <w:pPr>
        <w:spacing w:after="120"/>
        <w:jc w:val="both"/>
      </w:pPr>
      <w:r>
        <w:rPr>
          <w:sz w:val="22"/>
          <w:szCs w:val="22"/>
        </w:rPr>
        <w:t xml:space="preserve">espacios de interés productivo rural.</w:t>
      </w:r>
    </w:p>
    <w:p>
      <w:pPr>
        <w:spacing w:after="120"/>
        <w:ind w:left="567"/>
        <w:jc w:val="both"/>
      </w:pPr>
      <w:r>
        <w:rPr>
          <w:sz w:val="22"/>
          <w:szCs w:val="22"/>
        </w:rPr>
        <w:t xml:space="preserve">i) La creación de condiciones para el acceso igualitario de todos los</w:t>
      </w:r>
    </w:p>
    <w:p>
      <w:pPr>
        <w:spacing w:after="120"/>
        <w:jc w:val="both"/>
      </w:pPr>
      <w:r>
        <w:rPr>
          <w:sz w:val="22"/>
          <w:szCs w:val="22"/>
        </w:rPr>
        <w:t xml:space="preserve">habitantes a una calidad de vida digna, garantizando la accesibilidad a</w:t>
      </w:r>
    </w:p>
    <w:p>
      <w:pPr>
        <w:spacing w:after="120"/>
        <w:jc w:val="both"/>
      </w:pPr>
      <w:r>
        <w:rPr>
          <w:sz w:val="22"/>
          <w:szCs w:val="22"/>
        </w:rPr>
        <w:t xml:space="preserve">equipamientos y a los servicios públicos necesarios, así como el acceso</w:t>
      </w:r>
    </w:p>
    <w:p>
      <w:pPr>
        <w:spacing w:after="120"/>
        <w:jc w:val="both"/>
      </w:pPr>
      <w:r>
        <w:rPr>
          <w:sz w:val="22"/>
          <w:szCs w:val="22"/>
        </w:rPr>
        <w:t xml:space="preserve">equitativo a un hábitat adecuado.</w:t>
      </w:r>
    </w:p>
    <w:p>
      <w:pPr>
        <w:spacing w:after="120"/>
        <w:ind w:left="567"/>
        <w:jc w:val="both"/>
      </w:pPr>
      <w:r>
        <w:rPr>
          <w:sz w:val="22"/>
          <w:szCs w:val="22"/>
        </w:rPr>
        <w:t xml:space="preserve">j) La tutela y valorización del patrimonio cultural, constituido por</w:t>
      </w:r>
    </w:p>
    <w:p>
      <w:pPr>
        <w:spacing w:after="120"/>
        <w:jc w:val="both"/>
      </w:pPr>
      <w:r>
        <w:rPr>
          <w:sz w:val="22"/>
          <w:szCs w:val="22"/>
        </w:rPr>
        <w:t xml:space="preserve">el conjunto de bienes en el territorio a los que se atribuyen valores</w:t>
      </w:r>
    </w:p>
    <w:p>
      <w:pPr>
        <w:spacing w:after="120"/>
        <w:jc w:val="both"/>
      </w:pPr>
      <w:r>
        <w:rPr>
          <w:sz w:val="22"/>
          <w:szCs w:val="22"/>
        </w:rPr>
        <w:t xml:space="preserve">de interés ambiental, científico, educativo, histórico, arqueológico,</w:t>
      </w:r>
    </w:p>
    <w:p>
      <w:pPr>
        <w:spacing w:after="120"/>
        <w:jc w:val="both"/>
      </w:pPr>
      <w:r>
        <w:rPr>
          <w:sz w:val="22"/>
          <w:szCs w:val="22"/>
        </w:rPr>
        <w:t xml:space="preserve">arquitectónico o turístico, referidos al medio natural y la diversidad</w:t>
      </w:r>
    </w:p>
    <w:p>
      <w:pPr>
        <w:spacing w:after="120"/>
        <w:jc w:val="both"/>
      </w:pPr>
      <w:r>
        <w:rPr>
          <w:sz w:val="22"/>
          <w:szCs w:val="22"/>
        </w:rPr>
        <w:t xml:space="preserve">biológica, unidades de paisaje, conjuntos urbanos y monumentos.</w:t>
      </w:r>
    </w:p>
    <w:p>
      <w:pPr>
        <w:spacing w:after="120"/>
        <w:ind w:left="567"/>
        <w:jc w:val="both"/>
      </w:pPr>
      <w:r>
        <w:rPr>
          <w:sz w:val="22"/>
          <w:szCs w:val="22"/>
        </w:rPr>
        <w:t xml:space="preserve">k) La prevención de los conflictos con incidencia territorial.</w:t>
      </w:r>
    </w:p>
    <w:p>
      <w:pPr>
        <w:spacing w:after="120"/>
        <w:ind w:left="567"/>
        <w:jc w:val="both"/>
      </w:pPr>
      <w:r>
        <w:rPr>
          <w:sz w:val="22"/>
          <w:szCs w:val="22"/>
        </w:rPr>
        <w:t xml:space="preserve">l) El carácter público de la información territorial producida por las</w:t>
      </w:r>
    </w:p>
    <w:p>
      <w:pPr>
        <w:spacing w:after="120"/>
        <w:jc w:val="both"/>
      </w:pPr>
      <w:r>
        <w:rPr>
          <w:sz w:val="22"/>
          <w:szCs w:val="22"/>
        </w:rPr>
        <w:t xml:space="preserve">instituciones del Estado.</w:t>
      </w:r>
    </w:p>
    <w:p>
      <w:pPr>
        <w:pStyle w:val="Heading2"/>
      </w:pPr>
      <w:r>
        <w:t xml:space="preserve">TÍTULO II - DERECHOS Y DEBERES TERRITORIALES DE LAS PERSONAS</w:t>
      </w:r>
    </w:p>
    <w:p>
      <w:pPr>
        <w:pStyle w:val="Articulo"/>
        <w:keepNext/>
        <w:spacing w:after="120" w:before="280"/>
      </w:pPr>
      <w:r>
        <w:rPr>
          <w:rFonts w:ascii="Arial" w:cs="Arial" w:eastAsia="Arial" w:hAnsi="Arial"/>
          <w:b/>
          <w:bCs/>
          <w:color w:val="14213D"/>
          <w:sz w:val="22"/>
          <w:szCs w:val="22"/>
        </w:rPr>
        <w:t xml:space="preserve">Artículo 6</w:t>
      </w:r>
      <w:r>
        <w:rPr>
          <w:rFonts w:ascii="Arial" w:cs="Arial" w:eastAsia="Arial" w:hAnsi="Arial"/>
          <w:color w:val="555555"/>
          <w:sz w:val="22"/>
          <w:szCs w:val="22"/>
        </w:rPr>
        <w:t xml:space="preserve"> · Derechos territoriales de las personas</w:t>
      </w:r>
    </w:p>
    <w:p>
      <w:pPr>
        <w:spacing w:after="120"/>
        <w:jc w:val="both"/>
      </w:pPr>
      <w:r>
        <w:rPr>
          <w:sz w:val="22"/>
          <w:szCs w:val="22"/>
        </w:rPr>
        <w:t xml:space="preserve">(Derechos territoriales de las personas).-</w:t>
      </w:r>
    </w:p>
    <w:p>
      <w:pPr>
        <w:spacing w:after="120"/>
        <w:ind w:left="567"/>
        <w:jc w:val="both"/>
      </w:pPr>
      <w:r>
        <w:rPr>
          <w:sz w:val="22"/>
          <w:szCs w:val="22"/>
        </w:rPr>
        <w:t xml:space="preserve">a) Toda persona tiene derecho a que los poderes públicos establezcan</w:t>
      </w:r>
    </w:p>
    <w:p>
      <w:pPr>
        <w:spacing w:after="120"/>
        <w:jc w:val="both"/>
      </w:pPr>
      <w:r>
        <w:rPr>
          <w:sz w:val="22"/>
          <w:szCs w:val="22"/>
        </w:rPr>
        <w:t xml:space="preserve">un ordenamiento territorial adecuado al interés general, en el marco</w:t>
      </w:r>
    </w:p>
    <w:p>
      <w:pPr>
        <w:spacing w:after="120"/>
        <w:jc w:val="both"/>
      </w:pPr>
      <w:r>
        <w:rPr>
          <w:sz w:val="22"/>
          <w:szCs w:val="22"/>
        </w:rPr>
        <w:t xml:space="preserve">de los derechos y garantías establecidos en la Constitución de la</w:t>
      </w:r>
    </w:p>
    <w:p>
      <w:pPr>
        <w:spacing w:after="120"/>
        <w:jc w:val="both"/>
      </w:pPr>
      <w:r>
        <w:rPr>
          <w:sz w:val="22"/>
          <w:szCs w:val="22"/>
        </w:rPr>
        <w:t xml:space="preserve">República.</w:t>
      </w:r>
    </w:p>
    <w:p>
      <w:pPr>
        <w:spacing w:after="120"/>
        <w:ind w:left="567"/>
        <w:jc w:val="both"/>
      </w:pPr>
      <w:r>
        <w:rPr>
          <w:sz w:val="22"/>
          <w:szCs w:val="22"/>
        </w:rPr>
        <w:t xml:space="preserve">b) Toda persona tiene derecho a la participación en los procedimientos</w:t>
      </w:r>
    </w:p>
    <w:p>
      <w:pPr>
        <w:spacing w:after="120"/>
        <w:jc w:val="both"/>
      </w:pPr>
      <w:r>
        <w:rPr>
          <w:sz w:val="22"/>
          <w:szCs w:val="22"/>
        </w:rPr>
        <w:t xml:space="preserve">de elaboración de los instrumentos de ordenamiento territorial.</w:t>
      </w:r>
    </w:p>
    <w:p>
      <w:pPr>
        <w:spacing w:after="120"/>
        <w:ind w:left="567"/>
        <w:jc w:val="both"/>
      </w:pPr>
      <w:r>
        <w:rPr>
          <w:sz w:val="22"/>
          <w:szCs w:val="22"/>
        </w:rPr>
        <w:t xml:space="preserve">c) Toda persona podrá demandar ante la sede judicial correspondiente</w:t>
      </w:r>
    </w:p>
    <w:p>
      <w:pPr>
        <w:spacing w:after="120"/>
        <w:jc w:val="both"/>
      </w:pPr>
      <w:r>
        <w:rPr>
          <w:sz w:val="22"/>
          <w:szCs w:val="22"/>
        </w:rPr>
        <w:t xml:space="preserve">la observancia de la legislación territorial y de los instrumentos de</w:t>
      </w:r>
    </w:p>
    <w:p>
      <w:pPr>
        <w:spacing w:after="120"/>
        <w:jc w:val="both"/>
      </w:pPr>
      <w:r>
        <w:rPr>
          <w:sz w:val="22"/>
          <w:szCs w:val="22"/>
        </w:rPr>
        <w:t xml:space="preserve">ordenamiento en todos los acuerdos, actos y resoluciones que adopten</w:t>
      </w:r>
    </w:p>
    <w:p>
      <w:pPr>
        <w:spacing w:after="120"/>
        <w:jc w:val="both"/>
      </w:pPr>
      <w:r>
        <w:rPr>
          <w:sz w:val="22"/>
          <w:szCs w:val="22"/>
        </w:rPr>
        <w:t xml:space="preserve">las instituciones públicas.</w:t>
      </w:r>
    </w:p>
    <w:p>
      <w:pPr>
        <w:spacing w:after="120"/>
        <w:ind w:left="567"/>
        <w:jc w:val="both"/>
      </w:pPr>
      <w:r>
        <w:rPr>
          <w:sz w:val="22"/>
          <w:szCs w:val="22"/>
        </w:rPr>
        <w:t xml:space="preserve">d) Toda persona tendrá derecho al acceso a la información sobre el</w:t>
      </w:r>
    </w:p>
    <w:p>
      <w:pPr>
        <w:spacing w:after="120"/>
        <w:jc w:val="both"/>
      </w:pPr>
      <w:r>
        <w:rPr>
          <w:sz w:val="22"/>
          <w:szCs w:val="22"/>
        </w:rPr>
        <w:t xml:space="preserve">territorio que posean las instituciones públicas.</w:t>
      </w:r>
    </w:p>
    <w:p>
      <w:pPr>
        <w:spacing w:after="120"/>
        <w:ind w:left="567"/>
        <w:jc w:val="both"/>
      </w:pPr>
      <w:r>
        <w:rPr>
          <w:sz w:val="22"/>
          <w:szCs w:val="22"/>
        </w:rPr>
        <w:t xml:space="preserve">e) Toda persona tiene derecho al uso común y general de las redes</w:t>
      </w:r>
    </w:p>
    <w:p>
      <w:pPr>
        <w:spacing w:after="120"/>
        <w:jc w:val="both"/>
      </w:pPr>
      <w:r>
        <w:rPr>
          <w:sz w:val="22"/>
          <w:szCs w:val="22"/>
        </w:rPr>
        <w:t xml:space="preserve">viales, circulaciones peatonales, ribera de los cursos de agua, zonas</w:t>
      </w:r>
    </w:p>
    <w:p>
      <w:pPr>
        <w:spacing w:after="120"/>
        <w:jc w:val="both"/>
      </w:pPr>
      <w:r>
        <w:rPr>
          <w:sz w:val="22"/>
          <w:szCs w:val="22"/>
        </w:rPr>
        <w:t xml:space="preserve">libres y de recreo -todas ellas públicas- y a acceder en condiciones</w:t>
      </w:r>
    </w:p>
    <w:p>
      <w:pPr>
        <w:spacing w:after="120"/>
        <w:jc w:val="both"/>
      </w:pPr>
      <w:r>
        <w:rPr>
          <w:sz w:val="22"/>
          <w:szCs w:val="22"/>
        </w:rPr>
        <w:t xml:space="preserve">no discriminatorias a equipamientos y servicios de uso público, de</w:t>
      </w:r>
    </w:p>
    <w:p>
      <w:pPr>
        <w:spacing w:after="120"/>
        <w:jc w:val="both"/>
      </w:pPr>
      <w:r>
        <w:rPr>
          <w:sz w:val="22"/>
          <w:szCs w:val="22"/>
        </w:rPr>
        <w:t xml:space="preserve">acuerdo con las normas existentes, garantizándolo a aquellas personas</w:t>
      </w:r>
    </w:p>
    <w:p>
      <w:pPr>
        <w:spacing w:after="120"/>
        <w:jc w:val="both"/>
      </w:pPr>
      <w:r>
        <w:rPr>
          <w:sz w:val="22"/>
          <w:szCs w:val="22"/>
        </w:rPr>
        <w:t xml:space="preserve">con capacidades diferentes.</w:t>
      </w:r>
    </w:p>
    <w:p>
      <w:pPr>
        <w:pStyle w:val="Articulo"/>
        <w:keepNext/>
        <w:spacing w:after="120" w:before="280"/>
      </w:pPr>
      <w:r>
        <w:rPr>
          <w:rFonts w:ascii="Arial" w:cs="Arial" w:eastAsia="Arial" w:hAnsi="Arial"/>
          <w:b/>
          <w:bCs/>
          <w:color w:val="14213D"/>
          <w:sz w:val="22"/>
          <w:szCs w:val="22"/>
        </w:rPr>
        <w:t xml:space="preserve">Artículo 7</w:t>
      </w:r>
      <w:r>
        <w:rPr>
          <w:rFonts w:ascii="Arial" w:cs="Arial" w:eastAsia="Arial" w:hAnsi="Arial"/>
          <w:color w:val="555555"/>
          <w:sz w:val="22"/>
          <w:szCs w:val="22"/>
        </w:rPr>
        <w:t xml:space="preserve"> · Deberes territoriales de las personas</w:t>
      </w:r>
    </w:p>
    <w:p>
      <w:pPr>
        <w:spacing w:after="120"/>
        <w:jc w:val="both"/>
      </w:pPr>
      <w:r>
        <w:rPr>
          <w:sz w:val="22"/>
          <w:szCs w:val="22"/>
        </w:rPr>
        <w:t xml:space="preserve">(Deberes territoriales de las personas).- Todas las personas tienen el deber de respetar las disposiciones del ordenamiento territorial y colaborar con las instituciones publicas en la defensa de su integridad a través del ejercicio racional y adecuado de sus derechos.</w:t>
      </w:r>
    </w:p>
    <w:p>
      <w:pPr>
        <w:spacing w:after="120"/>
        <w:jc w:val="both"/>
      </w:pPr>
      <w:r>
        <w:rPr>
          <w:sz w:val="22"/>
          <w:szCs w:val="22"/>
        </w:rPr>
        <w:t xml:space="preserve">Asimismo las personas tienen el deber de proteger el medio ambiente, los recursos naturales y el patrimonio cultural y de conservar y usar cuidadosamente los espacios y bienes, públicos territoriales.</w:t>
      </w:r>
    </w:p>
    <w:p>
      <w:pPr>
        <w:pStyle w:val="Heading2"/>
      </w:pPr>
      <w:r>
        <w:t xml:space="preserve">TÍTULO III - INSTRUMENTOS DE PLANIFICACION TERRITORIAL</w:t>
      </w:r>
    </w:p>
    <w:p>
      <w:pPr>
        <w:pStyle w:val="Heading3"/>
      </w:pPr>
      <w:r>
        <w:t xml:space="preserve">CAPÍTULO I - DISPOSICIONES GENERALES</w:t>
      </w:r>
    </w:p>
    <w:p>
      <w:pPr>
        <w:pStyle w:val="Articulo"/>
        <w:keepNext/>
        <w:spacing w:after="120" w:before="280"/>
      </w:pPr>
      <w:r>
        <w:rPr>
          <w:rFonts w:ascii="Arial" w:cs="Arial" w:eastAsia="Arial" w:hAnsi="Arial"/>
          <w:b/>
          <w:bCs/>
          <w:color w:val="14213D"/>
          <w:sz w:val="22"/>
          <w:szCs w:val="22"/>
        </w:rPr>
        <w:t xml:space="preserve">Artículo 8</w:t>
      </w:r>
      <w:r>
        <w:rPr>
          <w:rFonts w:ascii="Arial" w:cs="Arial" w:eastAsia="Arial" w:hAnsi="Arial"/>
          <w:color w:val="555555"/>
          <w:sz w:val="22"/>
          <w:szCs w:val="22"/>
        </w:rPr>
        <w:t xml:space="preserve"> · Tipos de instrumentos</w:t>
      </w:r>
    </w:p>
    <w:p>
      <w:pPr>
        <w:spacing w:after="120"/>
        <w:jc w:val="both"/>
      </w:pPr>
      <w:r>
        <w:rPr>
          <w:sz w:val="22"/>
          <w:szCs w:val="22"/>
        </w:rPr>
        <w:t xml:space="preserve">(Tipos de instrumentos).- La planificación y ejecución se ejercerá a través de los siguientes instrumentos de Ordenamiento Territorial y Desarrollo Sostenible:</w:t>
      </w:r>
    </w:p>
    <w:p>
      <w:pPr>
        <w:spacing w:after="120"/>
        <w:ind w:left="567"/>
        <w:jc w:val="both"/>
      </w:pPr>
      <w:r>
        <w:rPr>
          <w:sz w:val="22"/>
          <w:szCs w:val="22"/>
        </w:rPr>
        <w:t xml:space="preserve">a) En el ámbito nacional: Directrices Nacionales y Programas</w:t>
      </w:r>
    </w:p>
    <w:p>
      <w:pPr>
        <w:spacing w:after="120"/>
        <w:jc w:val="both"/>
      </w:pPr>
      <w:r>
        <w:rPr>
          <w:sz w:val="22"/>
          <w:szCs w:val="22"/>
        </w:rPr>
        <w:t xml:space="preserve">Nacionales.</w:t>
      </w:r>
    </w:p>
    <w:p>
      <w:pPr>
        <w:spacing w:after="120"/>
        <w:ind w:left="567"/>
        <w:jc w:val="both"/>
      </w:pPr>
      <w:r>
        <w:rPr>
          <w:sz w:val="22"/>
          <w:szCs w:val="22"/>
        </w:rPr>
        <w:t xml:space="preserve">b) En el ámbito regional: Estrategias Regionales.</w:t>
      </w:r>
    </w:p>
    <w:p>
      <w:pPr>
        <w:spacing w:after="120"/>
        <w:ind w:left="567"/>
        <w:jc w:val="both"/>
      </w:pPr>
      <w:r>
        <w:rPr>
          <w:sz w:val="22"/>
          <w:szCs w:val="22"/>
        </w:rPr>
        <w:t xml:space="preserve">c) En el ámbito departamental: Directrices Departamentales, Ordenanzas</w:t>
      </w:r>
    </w:p>
    <w:p>
      <w:pPr>
        <w:spacing w:after="120"/>
        <w:jc w:val="both"/>
      </w:pPr>
      <w:r>
        <w:rPr>
          <w:sz w:val="22"/>
          <w:szCs w:val="22"/>
        </w:rPr>
        <w:t xml:space="preserve">Departamentales, Planes Locales.</w:t>
      </w:r>
    </w:p>
    <w:p>
      <w:pPr>
        <w:spacing w:after="120"/>
        <w:ind w:left="567"/>
        <w:jc w:val="both"/>
      </w:pPr>
      <w:r>
        <w:rPr>
          <w:sz w:val="22"/>
          <w:szCs w:val="22"/>
        </w:rPr>
        <w:t xml:space="preserve">d) En el ámbito interdepartamental: Planes Interdepartamentales.</w:t>
      </w:r>
    </w:p>
    <w:p>
      <w:pPr>
        <w:spacing w:after="120"/>
        <w:ind w:left="567"/>
        <w:jc w:val="both"/>
      </w:pPr>
      <w:r>
        <w:rPr>
          <w:sz w:val="22"/>
          <w:szCs w:val="22"/>
        </w:rPr>
        <w:t xml:space="preserve">e) Instrumentos especiales.</w:t>
      </w:r>
    </w:p>
    <w:p>
      <w:pPr>
        <w:spacing w:after="120"/>
        <w:jc w:val="both"/>
      </w:pPr>
      <w:r>
        <w:rPr>
          <w:sz w:val="22"/>
          <w:szCs w:val="22"/>
        </w:rPr>
        <w:t xml:space="preserve">En la elaboración de los diferentes instrumentos se observarán los principios de información, participación, cooperación y coordinación entre las entidades públicas, sin perjuicio del respeto de la competencia atribuida a cada una de ellas.</w:t>
      </w:r>
    </w:p>
    <w:p>
      <w:pPr>
        <w:spacing w:after="120"/>
        <w:jc w:val="both"/>
      </w:pPr>
      <w:r>
        <w:rPr>
          <w:sz w:val="22"/>
          <w:szCs w:val="22"/>
        </w:rPr>
        <w:t xml:space="preserve">Los instrumentos de planificación territorial referidos son complementarios y no excluyentes de otros planes y demás instrumentos destinados a la regulación de actividades con incidencia en el territorio dispuestos en la legislación específica correspondiente, excepto los que la presente ley anula, modifica o sustituye.</w:t>
      </w:r>
    </w:p>
    <w:p>
      <w:pPr>
        <w:pStyle w:val="Heading3"/>
      </w:pPr>
      <w:r>
        <w:t xml:space="preserve">CAPÍTULO II - INSTRUMENTOS DE ORDENAMIENTO TERRITORIAL Y DESARROLLO SOSTENIBLE DE AMBITO NACIONAL Y REGIONAL</w:t>
      </w:r>
    </w:p>
    <w:p>
      <w:pPr>
        <w:pStyle w:val="Articulo"/>
        <w:keepNext/>
        <w:spacing w:after="120" w:before="280"/>
      </w:pPr>
      <w:r>
        <w:rPr>
          <w:rFonts w:ascii="Arial" w:cs="Arial" w:eastAsia="Arial" w:hAnsi="Arial"/>
          <w:b/>
          <w:bCs/>
          <w:color w:val="14213D"/>
          <w:sz w:val="22"/>
          <w:szCs w:val="22"/>
        </w:rPr>
        <w:t xml:space="preserve">Artículo 9</w:t>
      </w:r>
      <w:r>
        <w:rPr>
          <w:rFonts w:ascii="Arial" w:cs="Arial" w:eastAsia="Arial" w:hAnsi="Arial"/>
          <w:color w:val="555555"/>
          <w:sz w:val="22"/>
          <w:szCs w:val="22"/>
        </w:rPr>
        <w:t xml:space="preserve"> · Directrices Nacionales de Ordenamiento Territorial y Desarrollo Sostenible</w:t>
      </w:r>
    </w:p>
    <w:p>
      <w:pPr>
        <w:spacing w:after="120"/>
        <w:jc w:val="both"/>
      </w:pPr>
      <w:r>
        <w:rPr>
          <w:sz w:val="22"/>
          <w:szCs w:val="22"/>
        </w:rPr>
        <w:t xml:space="preserve">(Directrices Nacionales de Ordenamiento Territorial y Desarrollo Sostenible).- Las Directrices Nacionales de Ordenamiento Territorial y Desarrollo Sostenible constituyen el instrumento general de la política pública en la materia y tendrán por objeto:</w:t>
      </w:r>
    </w:p>
    <w:p>
      <w:pPr>
        <w:spacing w:after="120"/>
        <w:ind w:left="567"/>
        <w:jc w:val="both"/>
      </w:pPr>
      <w:r>
        <w:rPr>
          <w:sz w:val="22"/>
          <w:szCs w:val="22"/>
        </w:rPr>
        <w:t xml:space="preserve">a) El establecimiento de las bases y principales objetivos</w:t>
      </w:r>
    </w:p>
    <w:p>
      <w:pPr>
        <w:spacing w:after="120"/>
        <w:jc w:val="both"/>
      </w:pPr>
      <w:r>
        <w:rPr>
          <w:sz w:val="22"/>
          <w:szCs w:val="22"/>
        </w:rPr>
        <w:t xml:space="preserve">estratégicos nacionales en la materia.</w:t>
      </w:r>
    </w:p>
    <w:p>
      <w:pPr>
        <w:spacing w:after="120"/>
        <w:ind w:left="567"/>
        <w:jc w:val="both"/>
      </w:pPr>
      <w:r>
        <w:rPr>
          <w:sz w:val="22"/>
          <w:szCs w:val="22"/>
        </w:rPr>
        <w:t xml:space="preserve">b) La definición básica de la estructura territorial y la</w:t>
      </w:r>
    </w:p>
    <w:p>
      <w:pPr>
        <w:spacing w:after="120"/>
        <w:jc w:val="both"/>
      </w:pPr>
      <w:r>
        <w:rPr>
          <w:sz w:val="22"/>
          <w:szCs w:val="22"/>
        </w:rPr>
        <w:t xml:space="preserve">identificación de las actuaciones territoriales estratégicas.</w:t>
      </w:r>
    </w:p>
    <w:p>
      <w:pPr>
        <w:spacing w:after="120"/>
        <w:ind w:left="567"/>
        <w:jc w:val="both"/>
      </w:pPr>
      <w:r>
        <w:rPr>
          <w:sz w:val="22"/>
          <w:szCs w:val="22"/>
        </w:rPr>
        <w:t xml:space="preserve">c) La formulación de criterios, lineamientos y orientaciones generales</w:t>
      </w:r>
    </w:p>
    <w:p>
      <w:pPr>
        <w:spacing w:after="120"/>
        <w:jc w:val="both"/>
      </w:pPr>
      <w:r>
        <w:rPr>
          <w:sz w:val="22"/>
          <w:szCs w:val="22"/>
        </w:rPr>
        <w:t xml:space="preserve">para los demás instrumentos de ordenamiento territorial, para las</w:t>
      </w:r>
    </w:p>
    <w:p>
      <w:pPr>
        <w:spacing w:after="120"/>
        <w:jc w:val="both"/>
      </w:pPr>
      <w:r>
        <w:rPr>
          <w:sz w:val="22"/>
          <w:szCs w:val="22"/>
        </w:rPr>
        <w:t xml:space="preserve">políticas sectoriales con incidencia territorial y para los proyectos</w:t>
      </w:r>
    </w:p>
    <w:p>
      <w:pPr>
        <w:spacing w:after="120"/>
        <w:jc w:val="both"/>
      </w:pPr>
      <w:r>
        <w:rPr>
          <w:sz w:val="22"/>
          <w:szCs w:val="22"/>
        </w:rPr>
        <w:t xml:space="preserve">de inversión pública con impacto en el territorio nacional.</w:t>
      </w:r>
    </w:p>
    <w:p>
      <w:pPr>
        <w:spacing w:after="120"/>
        <w:ind w:left="567"/>
        <w:jc w:val="both"/>
      </w:pPr>
      <w:r>
        <w:rPr>
          <w:sz w:val="22"/>
          <w:szCs w:val="22"/>
        </w:rPr>
        <w:t xml:space="preserve">d) La determinación de los espacios sujetos a un régimen especial de</w:t>
      </w:r>
    </w:p>
    <w:p>
      <w:pPr>
        <w:spacing w:after="120"/>
        <w:jc w:val="both"/>
      </w:pPr>
      <w:r>
        <w:rPr>
          <w:sz w:val="22"/>
          <w:szCs w:val="22"/>
        </w:rPr>
        <w:t xml:space="preserve">protección del medio ambiente y sus áreas adyacentes y las modalidades</w:t>
      </w:r>
    </w:p>
    <w:p>
      <w:pPr>
        <w:spacing w:after="120"/>
        <w:jc w:val="both"/>
      </w:pPr>
      <w:r>
        <w:rPr>
          <w:sz w:val="22"/>
          <w:szCs w:val="22"/>
        </w:rPr>
        <w:t xml:space="preserve">de aprovechamiento, uso y gestión de los recursos naturales.</w:t>
      </w:r>
    </w:p>
    <w:p>
      <w:pPr>
        <w:spacing w:after="120"/>
        <w:ind w:left="567"/>
        <w:jc w:val="both"/>
      </w:pPr>
      <w:r>
        <w:rPr>
          <w:sz w:val="22"/>
          <w:szCs w:val="22"/>
        </w:rPr>
        <w:t xml:space="preserve">e) La propuesta de los incentivos y sanciones a aplicar por los</w:t>
      </w:r>
    </w:p>
    <w:p>
      <w:pPr>
        <w:spacing w:after="120"/>
        <w:jc w:val="both"/>
      </w:pPr>
      <w:r>
        <w:rPr>
          <w:sz w:val="22"/>
          <w:szCs w:val="22"/>
        </w:rPr>
        <w:t xml:space="preserve">organismos correspondientes que contribuyan a la concreción de los</w:t>
      </w:r>
    </w:p>
    <w:p>
      <w:pPr>
        <w:spacing w:after="120"/>
        <w:jc w:val="both"/>
      </w:pPr>
      <w:r>
        <w:rPr>
          <w:sz w:val="22"/>
          <w:szCs w:val="22"/>
        </w:rPr>
        <w:t xml:space="preserve">planes.</w:t>
      </w:r>
    </w:p>
    <w:p>
      <w:pPr>
        <w:spacing w:after="120"/>
        <w:ind w:left="567"/>
        <w:jc w:val="both"/>
      </w:pPr>
      <w:r>
        <w:rPr>
          <w:sz w:val="22"/>
          <w:szCs w:val="22"/>
        </w:rPr>
        <w:t xml:space="preserve">f) La proposición de medidas de fortalecimiento institucional y el</w:t>
      </w:r>
    </w:p>
    <w:p>
      <w:pPr>
        <w:spacing w:after="120"/>
        <w:jc w:val="both"/>
      </w:pPr>
      <w:r>
        <w:rPr>
          <w:sz w:val="22"/>
          <w:szCs w:val="22"/>
        </w:rPr>
        <w:t xml:space="preserve">apoyo a la coordinación y cooperación para la gestión planificada del</w:t>
      </w:r>
    </w:p>
    <w:p>
      <w:pPr>
        <w:spacing w:after="120"/>
        <w:jc w:val="both"/>
      </w:pPr>
      <w:r>
        <w:rPr>
          <w:sz w:val="22"/>
          <w:szCs w:val="22"/>
        </w:rPr>
        <w:t xml:space="preserve">territorio.</w:t>
      </w:r>
    </w:p>
    <w:p>
      <w:pPr>
        <w:pStyle w:val="Articulo"/>
        <w:keepNext/>
        <w:spacing w:after="120" w:before="280"/>
      </w:pPr>
      <w:r>
        <w:rPr>
          <w:rFonts w:ascii="Arial" w:cs="Arial" w:eastAsia="Arial" w:hAnsi="Arial"/>
          <w:b/>
          <w:bCs/>
          <w:color w:val="14213D"/>
          <w:sz w:val="22"/>
          <w:szCs w:val="22"/>
        </w:rPr>
        <w:t xml:space="preserve">Artículo 10</w:t>
      </w:r>
      <w:r>
        <w:rPr>
          <w:rFonts w:ascii="Arial" w:cs="Arial" w:eastAsia="Arial" w:hAnsi="Arial"/>
          <w:color w:val="555555"/>
          <w:sz w:val="22"/>
          <w:szCs w:val="22"/>
        </w:rPr>
        <w:t xml:space="preserve"> · Elaboración y aprobación de las Directrices Nacionales</w:t>
      </w:r>
    </w:p>
    <w:p>
      <w:pPr>
        <w:spacing w:after="120"/>
        <w:jc w:val="both"/>
      </w:pPr>
      <w:r>
        <w:rPr>
          <w:sz w:val="22"/>
          <w:szCs w:val="22"/>
        </w:rPr>
        <w:t xml:space="preserve">(Elaboración y aprobación de las Directrices Nacionales).- El Poder Ejecutivo elaborará y someterá las Directrices Nacionales al Poder Legislativo para su aprobación, sin perjuicio de la iniciativa legislativa que a éste corresponde.</w:t>
      </w:r>
    </w:p>
    <w:p>
      <w:pPr>
        <w:spacing w:after="120"/>
        <w:jc w:val="both"/>
      </w:pPr>
      <w:r>
        <w:rPr>
          <w:sz w:val="22"/>
          <w:szCs w:val="22"/>
        </w:rPr>
        <w:t xml:space="preserve">En el proceso de elaboración de las Directrices Nacionales se fomentará la participación directa de las entidades públicas con competencia relevante en la materia y de los Gobiernos Departamentales.</w:t>
      </w:r>
    </w:p>
    <w:p>
      <w:pPr>
        <w:pStyle w:val="Articulo"/>
        <w:keepNext/>
        <w:spacing w:after="120" w:before="280"/>
      </w:pPr>
      <w:r>
        <w:rPr>
          <w:rFonts w:ascii="Arial" w:cs="Arial" w:eastAsia="Arial" w:hAnsi="Arial"/>
          <w:b/>
          <w:bCs/>
          <w:color w:val="14213D"/>
          <w:sz w:val="22"/>
          <w:szCs w:val="22"/>
        </w:rPr>
        <w:t xml:space="preserve">Artículo 11</w:t>
      </w:r>
      <w:r>
        <w:rPr>
          <w:rFonts w:ascii="Arial" w:cs="Arial" w:eastAsia="Arial" w:hAnsi="Arial"/>
          <w:color w:val="555555"/>
          <w:sz w:val="22"/>
          <w:szCs w:val="22"/>
        </w:rPr>
        <w:t xml:space="preserve"> · Programas Nacionales de Ordenamiento Territorial y Desarrollo Sostenible</w:t>
      </w:r>
    </w:p>
    <w:p>
      <w:pPr>
        <w:spacing w:after="120"/>
        <w:jc w:val="both"/>
      </w:pPr>
      <w:r>
        <w:rPr>
          <w:sz w:val="22"/>
          <w:szCs w:val="22"/>
        </w:rPr>
        <w:t xml:space="preserve">(Programas Nacionales de Ordenamiento Territorial y Desarrollo Sostenible).- Constituyen Programas Nacionales de Ordenamiento Territorial y Desarrollo Sostenible los instrumentos cuyo objetivo fundamental será establecer las bases estratégicas y las acciones para la coordinación y cooperación entre las instituciones públicas en ámbitos territoriales concretos o en el marco de sectores específicos de interés territorial nacional.</w:t>
      </w:r>
    </w:p>
    <w:p>
      <w:pPr>
        <w:spacing w:after="120"/>
        <w:jc w:val="both"/>
      </w:pPr>
      <w:r>
        <w:rPr>
          <w:sz w:val="22"/>
          <w:szCs w:val="22"/>
        </w:rPr>
        <w:t xml:space="preserve">La elaboración de los Programas Nacionales corresponde al Ministerio de Vivienda, Ordenamiento Territorial y Medio Ambiente (MVOTMA), a través de la Dirección Nacional de Ordenamiento Territorial, por sí o mediante la elaboración conjunta de éste con otros organismos públicos, en el marco del Comité Nacional de Ordenamiento Territorial y con el asesoramiento de la Comisión Asesora de Ordenamiento Territorial.</w:t>
      </w:r>
    </w:p>
    <w:p>
      <w:pPr>
        <w:spacing w:after="120"/>
        <w:jc w:val="both"/>
      </w:pPr>
      <w:r>
        <w:rPr>
          <w:sz w:val="22"/>
          <w:szCs w:val="22"/>
        </w:rPr>
        <w:t xml:space="preserve">Los Programas Nacionales serán elevados al Poder Ejecutivo para su aprobación. Tendrán la vigencia y mecanismos de revisión que establezcan.</w:t>
      </w:r>
    </w:p>
    <w:p>
      <w:pPr>
        <w:pStyle w:val="Articulo"/>
        <w:keepNext/>
        <w:spacing w:after="120" w:before="280"/>
      </w:pPr>
      <w:r>
        <w:rPr>
          <w:rFonts w:ascii="Arial" w:cs="Arial" w:eastAsia="Arial" w:hAnsi="Arial"/>
          <w:b/>
          <w:bCs/>
          <w:color w:val="14213D"/>
          <w:sz w:val="22"/>
          <w:szCs w:val="22"/>
        </w:rPr>
        <w:t xml:space="preserve">Artículo 12</w:t>
      </w:r>
      <w:r>
        <w:rPr>
          <w:rFonts w:ascii="Arial" w:cs="Arial" w:eastAsia="Arial" w:hAnsi="Arial"/>
          <w:color w:val="555555"/>
          <w:sz w:val="22"/>
          <w:szCs w:val="22"/>
        </w:rPr>
        <w:t xml:space="preserve"> · Estrategias Regionales de Ordenamiento Territorial y Desarrollo Sostenible</w:t>
      </w:r>
    </w:p>
    <w:p>
      <w:pPr>
        <w:spacing w:after="120"/>
        <w:jc w:val="both"/>
      </w:pPr>
      <w:r>
        <w:rPr>
          <w:sz w:val="22"/>
          <w:szCs w:val="22"/>
        </w:rPr>
        <w:t xml:space="preserve">(Estrategias Regionales de Ordenamiento Territorial y Desarrollo Sostenible).- Constituyen Estrategias Regionales de Ordenamiento Territorial y Desarrollo Sostenible los instrumentos de carácter estructural referidos al territorio nacional que, abarcando en todo o en parte áreas de dos o más departamentos que compartan problemas y oportunidades en materia de desarrollo y gestión territorial, precisan de coordinación supradepartamental para su óptima y eficaz planificación.</w:t>
      </w:r>
    </w:p>
    <w:p>
      <w:pPr>
        <w:spacing w:after="120"/>
        <w:jc w:val="both"/>
      </w:pPr>
      <w:r>
        <w:rPr>
          <w:sz w:val="22"/>
          <w:szCs w:val="22"/>
        </w:rPr>
        <w:t xml:space="preserve">Las Estrategias Regionales contendrán al menos las siguientes determinaciones:</w:t>
      </w:r>
    </w:p>
    <w:p>
      <w:pPr>
        <w:spacing w:after="120"/>
        <w:ind w:left="567"/>
        <w:jc w:val="both"/>
      </w:pPr>
      <w:r>
        <w:rPr>
          <w:sz w:val="22"/>
          <w:szCs w:val="22"/>
        </w:rPr>
        <w:t xml:space="preserve">a) Objetivos regionales de mediano y largo plazo para el ordenamiento</w:t>
      </w:r>
    </w:p>
    <w:p>
      <w:pPr>
        <w:spacing w:after="120"/>
        <w:jc w:val="both"/>
      </w:pPr>
      <w:r>
        <w:rPr>
          <w:sz w:val="22"/>
          <w:szCs w:val="22"/>
        </w:rPr>
        <w:t xml:space="preserve">territorial y desarrollo sostenible.</w:t>
      </w:r>
    </w:p>
    <w:p>
      <w:pPr>
        <w:spacing w:after="120"/>
        <w:ind w:left="567"/>
        <w:jc w:val="both"/>
      </w:pPr>
      <w:r>
        <w:rPr>
          <w:sz w:val="22"/>
          <w:szCs w:val="22"/>
        </w:rPr>
        <w:t xml:space="preserve">b) Lineamientos de estrategia territorial contemplando la acción</w:t>
      </w:r>
    </w:p>
    <w:p>
      <w:pPr>
        <w:spacing w:after="120"/>
        <w:jc w:val="both"/>
      </w:pPr>
      <w:r>
        <w:rPr>
          <w:sz w:val="22"/>
          <w:szCs w:val="22"/>
        </w:rPr>
        <w:t xml:space="preserve">coordinada del Gobierno Nacional, los Gobiernos Departamentales y los</w:t>
      </w:r>
    </w:p>
    <w:p>
      <w:pPr>
        <w:spacing w:after="120"/>
        <w:jc w:val="both"/>
      </w:pPr>
      <w:r>
        <w:rPr>
          <w:sz w:val="22"/>
          <w:szCs w:val="22"/>
        </w:rPr>
        <w:t xml:space="preserve">actores privados.</w:t>
      </w:r>
    </w:p>
    <w:p>
      <w:pPr>
        <w:spacing w:after="120"/>
        <w:ind w:left="567"/>
        <w:jc w:val="both"/>
      </w:pPr>
      <w:r>
        <w:rPr>
          <w:sz w:val="22"/>
          <w:szCs w:val="22"/>
        </w:rPr>
        <w:t xml:space="preserve">c) La planificación de servicios e infraestructuras territoriales.</w:t>
      </w:r>
    </w:p>
    <w:p>
      <w:pPr>
        <w:spacing w:after="120"/>
        <w:ind w:left="567"/>
        <w:jc w:val="both"/>
      </w:pPr>
      <w:r>
        <w:rPr>
          <w:sz w:val="22"/>
          <w:szCs w:val="22"/>
        </w:rPr>
        <w:t xml:space="preserve">d) Propuestas de desarrollo regional y fortalecimiento institucional.</w:t>
      </w:r>
    </w:p>
    <w:p>
      <w:pPr>
        <w:pStyle w:val="Articulo"/>
        <w:keepNext/>
        <w:spacing w:after="120" w:before="280"/>
      </w:pPr>
      <w:r>
        <w:rPr>
          <w:rFonts w:ascii="Arial" w:cs="Arial" w:eastAsia="Arial" w:hAnsi="Arial"/>
          <w:b/>
          <w:bCs/>
          <w:color w:val="14213D"/>
          <w:sz w:val="22"/>
          <w:szCs w:val="22"/>
        </w:rPr>
        <w:t xml:space="preserve">Artículo 13</w:t>
      </w:r>
      <w:r>
        <w:rPr>
          <w:rFonts w:ascii="Arial" w:cs="Arial" w:eastAsia="Arial" w:hAnsi="Arial"/>
          <w:color w:val="555555"/>
          <w:sz w:val="22"/>
          <w:szCs w:val="22"/>
        </w:rPr>
        <w:t xml:space="preserve"> · Elaboración y aprobación de las Estrategias Regionales</w:t>
      </w:r>
    </w:p>
    <w:p>
      <w:pPr>
        <w:spacing w:after="120"/>
        <w:jc w:val="both"/>
      </w:pPr>
      <w:r>
        <w:rPr>
          <w:sz w:val="22"/>
          <w:szCs w:val="22"/>
        </w:rPr>
        <w:t xml:space="preserve">(Elaboración y aprobación de las Estrategias Regionales).- Las Estrategias Regionales serán elaboradas mediante un procedimiento de concertación formal entre el Gobierno Nacional, representado por el Ministerio de Vivienda, Ordenamiento Territorial y Medio Ambiente (MVOTMA) y los Gobiernos Departamentales involucrados.</w:t>
      </w:r>
    </w:p>
    <w:p>
      <w:pPr>
        <w:spacing w:after="120"/>
        <w:jc w:val="both"/>
      </w:pPr>
      <w:r>
        <w:rPr>
          <w:sz w:val="22"/>
          <w:szCs w:val="22"/>
        </w:rPr>
        <w:t xml:space="preserve">Las Estrategias Regionales deberán ser aprobadas por el Poder Ejecutivo y los Gobiernos Departamentales interesados.</w:t>
      </w:r>
    </w:p>
    <w:p>
      <w:pPr>
        <w:pStyle w:val="Heading3"/>
      </w:pPr>
      <w:r>
        <w:t xml:space="preserve">CAPÍTULO III - INSTRUMENTOS DE ORDENAMIENTO TERRITORIAL Y DESARROLLO SOSTENIBLE DE LOS AMBITOS DEPARTAMENTAL E INTERDEPARTAMENTAL</w:t>
      </w:r>
    </w:p>
    <w:p>
      <w:pPr>
        <w:pStyle w:val="Articulo"/>
        <w:keepNext/>
        <w:spacing w:after="120" w:before="280"/>
      </w:pPr>
      <w:r>
        <w:rPr>
          <w:rFonts w:ascii="Arial" w:cs="Arial" w:eastAsia="Arial" w:hAnsi="Arial"/>
          <w:b/>
          <w:bCs/>
          <w:color w:val="14213D"/>
          <w:sz w:val="22"/>
          <w:szCs w:val="22"/>
        </w:rPr>
        <w:t xml:space="preserve">Artículo 14</w:t>
      </w:r>
      <w:r>
        <w:rPr>
          <w:rFonts w:ascii="Arial" w:cs="Arial" w:eastAsia="Arial" w:hAnsi="Arial"/>
          <w:color w:val="555555"/>
          <w:sz w:val="22"/>
          <w:szCs w:val="22"/>
        </w:rPr>
        <w:t xml:space="preserve"> · Competencias departamentales de ordenamiento territorial</w:t>
      </w:r>
    </w:p>
    <w:p>
      <w:pPr>
        <w:spacing w:after="120"/>
        <w:jc w:val="both"/>
      </w:pPr>
      <w:r>
        <w:rPr>
          <w:sz w:val="22"/>
          <w:szCs w:val="22"/>
        </w:rPr>
        <w:t xml:space="preserve">(Competencias departamentales de ordenamiento territorial).- Los Gobiernos Departamentales tendrán la competencia para categorizar el suelo, así como para establecer y aplicar regulaciones territoriales sobre usos, fraccionamientos, urbanización, edificación, demolición, conservación, protección del suelo y policía territorial, en todo el territorio departamental mediante la elaboración, aprobación e implementación de los instrumentos establecidos por esta ley, en el marco de la legislación aplicable.</w:t>
      </w:r>
    </w:p>
    <w:p>
      <w:pPr>
        <w:pStyle w:val="Articulo"/>
        <w:keepNext/>
        <w:spacing w:after="120" w:before="280"/>
      </w:pPr>
      <w:r>
        <w:rPr>
          <w:rFonts w:ascii="Arial" w:cs="Arial" w:eastAsia="Arial" w:hAnsi="Arial"/>
          <w:b/>
          <w:bCs/>
          <w:color w:val="14213D"/>
          <w:sz w:val="22"/>
          <w:szCs w:val="22"/>
        </w:rPr>
        <w:t xml:space="preserve">Artículo 15</w:t>
      </w:r>
      <w:r>
        <w:rPr>
          <w:rFonts w:ascii="Arial" w:cs="Arial" w:eastAsia="Arial" w:hAnsi="Arial"/>
          <w:color w:val="555555"/>
          <w:sz w:val="22"/>
          <w:szCs w:val="22"/>
        </w:rPr>
        <w:t xml:space="preserve"> · Ordenanza Departamental de Ordenamiento Territorial y Desarrollo Sostenible</w:t>
      </w:r>
    </w:p>
    <w:p>
      <w:pPr>
        <w:spacing w:after="120"/>
        <w:jc w:val="both"/>
      </w:pPr>
      <w:r>
        <w:rPr>
          <w:sz w:val="22"/>
          <w:szCs w:val="22"/>
        </w:rPr>
        <w:t xml:space="preserve">(Ordenanza Departamental de Ordenamiento Territorial y Desarrollo Sostenible).- La Ordenanza Departamental de Ordenamiento Territorial y Desarrollo Sostenible constituye el instrumento con las determinaciones generales respecto a la gestión, planificación y actuación territorial en toda la jurisdicción del departamento.</w:t>
      </w:r>
    </w:p>
    <w:p>
      <w:pPr>
        <w:spacing w:after="120"/>
        <w:jc w:val="both"/>
      </w:pPr>
      <w:r>
        <w:rPr>
          <w:sz w:val="22"/>
          <w:szCs w:val="22"/>
        </w:rPr>
        <w:t xml:space="preserve">Es de competencia exclusiva de los Gobiernos Departamentales la elaboración y aprobación de las Ordenanzas Departamentales.</w:t>
      </w:r>
    </w:p>
    <w:p>
      <w:pPr>
        <w:pStyle w:val="Articulo"/>
        <w:keepNext/>
        <w:spacing w:after="120" w:before="280"/>
      </w:pPr>
      <w:r>
        <w:rPr>
          <w:rFonts w:ascii="Arial" w:cs="Arial" w:eastAsia="Arial" w:hAnsi="Arial"/>
          <w:b/>
          <w:bCs/>
          <w:color w:val="14213D"/>
          <w:sz w:val="22"/>
          <w:szCs w:val="22"/>
        </w:rPr>
        <w:t xml:space="preserve">Artículo 16</w:t>
      </w:r>
      <w:r>
        <w:rPr>
          <w:rFonts w:ascii="Arial" w:cs="Arial" w:eastAsia="Arial" w:hAnsi="Arial"/>
          <w:color w:val="555555"/>
          <w:sz w:val="22"/>
          <w:szCs w:val="22"/>
        </w:rPr>
        <w:t xml:space="preserve"> · Directrices Departamentales de Ordenamiento Territorial y Desarrollo Sostenible</w:t>
      </w:r>
    </w:p>
    <w:p>
      <w:pPr>
        <w:spacing w:after="120"/>
        <w:jc w:val="both"/>
      </w:pPr>
      <w:r>
        <w:rPr>
          <w:sz w:val="22"/>
          <w:szCs w:val="22"/>
        </w:rPr>
        <w:t xml:space="preserve">(Directrices Departamentales de Ordenamiento Territorial y Desarrollo Sostenible).- Las Directrices Departamentales de Ordenamiento Territorial y Desarrollo Sostenible constituyen el instrumento que establece el ordenamiento estructural del territorio departamental, determinando las principales decisiones sobre el proceso de ocupación, desarrollo y uso del mismo.</w:t>
      </w:r>
    </w:p>
    <w:p>
      <w:pPr>
        <w:spacing w:after="120"/>
        <w:jc w:val="both"/>
      </w:pPr>
      <w:r>
        <w:rPr>
          <w:sz w:val="22"/>
          <w:szCs w:val="22"/>
        </w:rPr>
        <w:t xml:space="preserve">Tienen como objeto fundamental planificar el desarrollo integrado y ambientalmente sostenible del territorio departamental, mediante el ordenamiento del suelo y la previsión de los procesos de transformación del mismo.</w:t>
      </w:r>
    </w:p>
    <w:p>
      <w:pPr>
        <w:spacing w:after="120"/>
        <w:jc w:val="both"/>
      </w:pPr>
      <w:r>
        <w:rPr>
          <w:sz w:val="22"/>
          <w:szCs w:val="22"/>
        </w:rPr>
        <w:t xml:space="preserve">Es de competencia exclusiva de los Gobiernos Departamentales la elaboración y aprobación de las Directrices Departamentales.</w:t>
      </w:r>
    </w:p>
    <w:p>
      <w:pPr>
        <w:pStyle w:val="Articulo"/>
        <w:keepNext/>
        <w:spacing w:after="120" w:before="280"/>
      </w:pPr>
      <w:r>
        <w:rPr>
          <w:rFonts w:ascii="Arial" w:cs="Arial" w:eastAsia="Arial" w:hAnsi="Arial"/>
          <w:b/>
          <w:bCs/>
          <w:color w:val="14213D"/>
          <w:sz w:val="22"/>
          <w:szCs w:val="22"/>
        </w:rPr>
        <w:t xml:space="preserve">Artículo 17</w:t>
      </w:r>
      <w:r>
        <w:rPr>
          <w:rFonts w:ascii="Arial" w:cs="Arial" w:eastAsia="Arial" w:hAnsi="Arial"/>
          <w:color w:val="555555"/>
          <w:sz w:val="22"/>
          <w:szCs w:val="22"/>
        </w:rPr>
        <w:t xml:space="preserve"> · Planes Locales de Ordenamiento Territorial y Desarrollo Sostenible</w:t>
      </w:r>
    </w:p>
    <w:p>
      <w:pPr>
        <w:spacing w:after="120"/>
        <w:jc w:val="both"/>
      </w:pPr>
      <w:r>
        <w:rPr>
          <w:sz w:val="22"/>
          <w:szCs w:val="22"/>
        </w:rPr>
        <w:t xml:space="preserve">(Planes Locales de Ordenamiento Territorial y Desarrollo Sostenible).- Los Planes Locales de Ordenamiento del Territorio son los instrumentos para el ordenamiento de ámbitos geográficos locales dentro de un departamento.</w:t>
      </w:r>
    </w:p>
    <w:p>
      <w:pPr>
        <w:spacing w:after="120"/>
        <w:jc w:val="both"/>
      </w:pPr>
      <w:r>
        <w:rPr>
          <w:sz w:val="22"/>
          <w:szCs w:val="22"/>
        </w:rPr>
        <w:t xml:space="preserve">Se realizarán a iniciativa del Gobierno Departamental con la participación de las autoridades locales, las que definirán en cada caso su contenido, salvo cuando los contenidos del Plan Local estén indicados en un instrumento de ordenamiento territorial del ámbito departamental. Su tramitación y aprobación se hará en los términos establecidos en la presente ley.</w:t>
      </w:r>
    </w:p>
    <w:p>
      <w:pPr>
        <w:spacing w:after="120"/>
        <w:jc w:val="both"/>
      </w:pPr>
      <w:r>
        <w:rPr>
          <w:sz w:val="22"/>
          <w:szCs w:val="22"/>
        </w:rPr>
        <w:t xml:space="preserve">Es de competencia exclusiva de los Gobiernos Departamentales la elaboración y aprobación de los presentes instrumentos, así como la definición del ámbito de cada Plan Local.</w:t>
      </w:r>
    </w:p>
    <w:p>
      <w:pPr>
        <w:pStyle w:val="Articulo"/>
        <w:keepNext/>
        <w:spacing w:after="120" w:before="280"/>
      </w:pPr>
      <w:r>
        <w:rPr>
          <w:rFonts w:ascii="Arial" w:cs="Arial" w:eastAsia="Arial" w:hAnsi="Arial"/>
          <w:b/>
          <w:bCs/>
          <w:color w:val="14213D"/>
          <w:sz w:val="22"/>
          <w:szCs w:val="22"/>
        </w:rPr>
        <w:t xml:space="preserve">Artículo 18</w:t>
      </w:r>
      <w:r>
        <w:rPr>
          <w:rFonts w:ascii="Arial" w:cs="Arial" w:eastAsia="Arial" w:hAnsi="Arial"/>
          <w:color w:val="555555"/>
          <w:sz w:val="22"/>
          <w:szCs w:val="22"/>
        </w:rPr>
        <w:t xml:space="preserve"> · Planes Interdepartamentales de Ordenamiento Territorial y Desarrollo Sostenible</w:t>
      </w:r>
    </w:p>
    <w:p>
      <w:pPr>
        <w:spacing w:after="120"/>
        <w:jc w:val="both"/>
      </w:pPr>
      <w:r>
        <w:rPr>
          <w:sz w:val="22"/>
          <w:szCs w:val="22"/>
        </w:rPr>
        <w:t xml:space="preserve">(Planes Interdepartamentales de Ordenamiento Territorial y Desarrollo Sostenible).- Los Planes Interdepartamentales de Ordenamiento Territorial y Desarrollo Sostenible constituyen el instrumento que establece el ordenamiento estructural y detallado, formulado por acuerdo de partes, en los casos de micro regiones compartidas.</w:t>
      </w:r>
    </w:p>
    <w:p>
      <w:pPr>
        <w:spacing w:after="120"/>
        <w:jc w:val="both"/>
      </w:pPr>
      <w:r>
        <w:rPr>
          <w:sz w:val="22"/>
          <w:szCs w:val="22"/>
        </w:rPr>
        <w:t xml:space="preserve">Tendrán la naturaleza de los Planes Locales de Ordenamiento Territorial y serán elaborados y aprobados por los Gobiernos Departamentales involucrados.</w:t>
      </w:r>
    </w:p>
    <w:p>
      <w:pPr>
        <w:pStyle w:val="Heading3"/>
      </w:pPr>
      <w:r>
        <w:t xml:space="preserve">CAPÍTULO IV - INSTRUMENTOS ESPECIALES DE ORDENAMIENTO TERRITORIAL Y DESARROLLO SOSTENIBLE</w:t>
      </w:r>
    </w:p>
    <w:p>
      <w:pPr>
        <w:pStyle w:val="Articulo"/>
        <w:keepNext/>
        <w:spacing w:after="120" w:before="280"/>
      </w:pPr>
      <w:r>
        <w:rPr>
          <w:rFonts w:ascii="Arial" w:cs="Arial" w:eastAsia="Arial" w:hAnsi="Arial"/>
          <w:b/>
          <w:bCs/>
          <w:color w:val="14213D"/>
          <w:sz w:val="22"/>
          <w:szCs w:val="22"/>
        </w:rPr>
        <w:t xml:space="preserve">Artículo 19</w:t>
      </w:r>
    </w:p>
    <w:p>
      <w:pPr>
        <w:spacing w:after="120"/>
        <w:jc w:val="both"/>
      </w:pPr>
      <w:r>
        <w:rPr>
          <w:sz w:val="22"/>
          <w:szCs w:val="22"/>
        </w:rPr>
        <w:t xml:space="preserve">(Instrumentos Especiales). Son los instrumentos complementarios o derivados de los anteriores: Planes Parciales, Planes Sectoriales, Programas de Actuación integrada y los Inventarios, Catálogos y otros instrumentos de protección de bienes y espacios. (*)</w:t>
      </w:r>
    </w:p>
    <w:p>
      <w:pPr>
        <w:spacing w:after="120"/>
        <w:jc w:val="both"/>
      </w:pPr>
      <w:r>
        <w:rPr>
          <w:sz w:val="22"/>
          <w:szCs w:val="22"/>
        </w:rPr>
        <w:t xml:space="preserve">Los Instrumentos Especiales deberán ser aprobados por los respectivos Gobiernos Departamentales y tendrán efecto vinculante sobre los derechos y deberes de las personas y de la propiedad inmueble.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1º) redacción dada por: Ley Nº 18.719 de 27/12/2010 artículo </w:t>
      </w:r>
      <w:hyperlink w:history="1" r:id="rIdmdmpv2hemoct5sacfktuv">
        <w:r>
          <w:rPr>
            <w:rStyle w:val="Hyperlink"/>
            <w:rFonts w:ascii="Arial" w:cs="Arial" w:eastAsia="Arial" w:hAnsi="Arial"/>
            <w:sz w:val="17"/>
            <w:szCs w:val="17"/>
          </w:rPr>
          <w:t xml:space="preserve">607</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18.308 de 18/06/2008 artículo </w:t>
      </w:r>
      <w:hyperlink w:history="1" r:id="rIdfvxkqqc4kjt-azvycaerz">
        <w:r>
          <w:rPr>
            <w:rStyle w:val="Hyperlink"/>
            <w:rFonts w:ascii="Arial" w:cs="Arial" w:eastAsia="Arial" w:hAnsi="Arial"/>
            <w:sz w:val="17"/>
            <w:szCs w:val="17"/>
          </w:rPr>
          <w:t xml:space="preserve">19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20</w:t>
      </w:r>
      <w:r>
        <w:rPr>
          <w:rFonts w:ascii="Arial" w:cs="Arial" w:eastAsia="Arial" w:hAnsi="Arial"/>
          <w:color w:val="555555"/>
          <w:sz w:val="22"/>
          <w:szCs w:val="22"/>
        </w:rPr>
        <w:t xml:space="preserve"> · Planes Parciales y Planes Sectoriales de Ordenamiento Territorial y Desarrollo Sostenible</w:t>
      </w:r>
    </w:p>
    <w:p>
      <w:pPr>
        <w:spacing w:after="120"/>
        <w:jc w:val="both"/>
      </w:pPr>
      <w:r>
        <w:rPr>
          <w:sz w:val="22"/>
          <w:szCs w:val="22"/>
        </w:rPr>
        <w:t xml:space="preserve">(Planes Parciales y Planes Sectoriales de Ordenamiento Territorial y Desarrollo Sostenible).- Los Planes Parciales constituyen instrumentos para el ordenamiento detallado de áreas identificadas por el Plan Local o por otro instrumento, con el objeto de ejecutar actuaciones territoriales específicas de: protección o fomento productivo rural; renovación, rehabilitación, revitalización, consolidación, mejoramiento o expansión urbana; conservación ambiental y de los recursos naturales o el paisaje; entre otras.</w:t>
      </w:r>
    </w:p>
    <w:p>
      <w:pPr>
        <w:spacing w:after="120"/>
        <w:jc w:val="both"/>
      </w:pPr>
      <w:r>
        <w:rPr>
          <w:sz w:val="22"/>
          <w:szCs w:val="22"/>
        </w:rPr>
        <w:t xml:space="preserve">Los Planes Sectoriales constituyen instrumentos para la regulación detallada de temas específicos en el marco del Plan Local o de otro instrumento y en particular para el ordenamiento de los aspectos territoriales de las políticas y proyectos sectoriales con impacto estructurante.</w:t>
      </w:r>
    </w:p>
    <w:p>
      <w:pPr>
        <w:spacing w:after="120"/>
        <w:jc w:val="both"/>
      </w:pPr>
      <w:r>
        <w:rPr>
          <w:sz w:val="22"/>
          <w:szCs w:val="22"/>
        </w:rPr>
        <w:t xml:space="preserve">Los Planes Parciales y los Planes Sectoriales serán aprobados por los respectivos Gobiernos Departamentales y se formalizarán en los documentos adecuados conforme a la Ordenanza Departamental.</w:t>
      </w:r>
    </w:p>
    <w:p>
      <w:pPr>
        <w:pStyle w:val="Articulo"/>
        <w:keepNext/>
        <w:spacing w:after="120" w:before="280"/>
      </w:pPr>
      <w:r>
        <w:rPr>
          <w:rFonts w:ascii="Arial" w:cs="Arial" w:eastAsia="Arial" w:hAnsi="Arial"/>
          <w:b/>
          <w:bCs/>
          <w:color w:val="14213D"/>
          <w:sz w:val="22"/>
          <w:szCs w:val="22"/>
        </w:rPr>
        <w:t xml:space="preserve">Artículo 21</w:t>
      </w:r>
      <w:r>
        <w:rPr>
          <w:rFonts w:ascii="Arial" w:cs="Arial" w:eastAsia="Arial" w:hAnsi="Arial"/>
          <w:color w:val="555555"/>
          <w:sz w:val="22"/>
          <w:szCs w:val="22"/>
        </w:rPr>
        <w:t xml:space="preserve"> · Programas de Actuación Integrada</w:t>
      </w:r>
    </w:p>
    <w:p>
      <w:pPr>
        <w:spacing w:after="120"/>
        <w:jc w:val="both"/>
      </w:pPr>
      <w:r>
        <w:rPr>
          <w:sz w:val="22"/>
          <w:szCs w:val="22"/>
        </w:rPr>
        <w:t xml:space="preserve">(Programas de Actuación Integrada).- Los Programas de Actuación</w:t>
      </w:r>
    </w:p>
    <w:p>
      <w:pPr>
        <w:spacing w:after="120"/>
        <w:jc w:val="both"/>
      </w:pPr>
      <w:r>
        <w:rPr>
          <w:sz w:val="22"/>
          <w:szCs w:val="22"/>
        </w:rPr>
        <w:t xml:space="preserve">Integrada constituyen el instrumento para la transformación de</w:t>
      </w:r>
    </w:p>
    <w:p>
      <w:pPr>
        <w:spacing w:after="120"/>
        <w:jc w:val="both"/>
      </w:pPr>
      <w:r>
        <w:rPr>
          <w:sz w:val="22"/>
          <w:szCs w:val="22"/>
        </w:rPr>
        <w:t xml:space="preserve">sectores de suelo e incluirán, al menos:</w:t>
      </w:r>
    </w:p>
    <w:p>
      <w:pPr>
        <w:spacing w:after="120"/>
        <w:ind w:left="567"/>
        <w:jc w:val="both"/>
      </w:pPr>
      <w:r>
        <w:rPr>
          <w:sz w:val="22"/>
          <w:szCs w:val="22"/>
        </w:rPr>
        <w:t xml:space="preserve">a) La delimitación del ámbito de actuación en una parte de suelo con</w:t>
      </w:r>
    </w:p>
    <w:p>
      <w:pPr>
        <w:spacing w:after="120"/>
        <w:jc w:val="both"/>
      </w:pPr>
      <w:r>
        <w:rPr>
          <w:sz w:val="22"/>
          <w:szCs w:val="22"/>
        </w:rPr>
        <w:t xml:space="preserve">capacidad de constituir una unidad territorial a efectos de su</w:t>
      </w:r>
    </w:p>
    <w:p>
      <w:pPr>
        <w:spacing w:after="120"/>
        <w:jc w:val="both"/>
      </w:pPr>
      <w:r>
        <w:rPr>
          <w:sz w:val="22"/>
          <w:szCs w:val="22"/>
        </w:rPr>
        <w:t xml:space="preserve">ordenamiento y actuación.</w:t>
      </w:r>
    </w:p>
    <w:p>
      <w:pPr>
        <w:spacing w:after="120"/>
        <w:ind w:left="567"/>
        <w:jc w:val="both"/>
      </w:pPr>
      <w:r>
        <w:rPr>
          <w:sz w:val="22"/>
          <w:szCs w:val="22"/>
        </w:rPr>
        <w:t xml:space="preserve">b) La programación de la efectiva transformación y ejecución.</w:t>
      </w:r>
    </w:p>
    <w:p>
      <w:pPr>
        <w:spacing w:after="120"/>
        <w:ind w:left="567"/>
        <w:jc w:val="both"/>
      </w:pPr>
      <w:r>
        <w:rPr>
          <w:sz w:val="22"/>
          <w:szCs w:val="22"/>
        </w:rPr>
        <w:t xml:space="preserve">c) Las determinaciones estructurantes, la planificación pormenorizada y</w:t>
      </w:r>
    </w:p>
    <w:p>
      <w:pPr>
        <w:spacing w:after="120"/>
        <w:jc w:val="both"/>
      </w:pPr>
      <w:r>
        <w:rPr>
          <w:sz w:val="22"/>
          <w:szCs w:val="22"/>
        </w:rPr>
        <w:t xml:space="preserve">las normas de regulación y protección detalladas, aplicables al</w:t>
      </w:r>
    </w:p>
    <w:p>
      <w:pPr>
        <w:spacing w:after="120"/>
        <w:jc w:val="both"/>
      </w:pPr>
      <w:r>
        <w:rPr>
          <w:sz w:val="22"/>
          <w:szCs w:val="22"/>
        </w:rPr>
        <w:t xml:space="preserve">ámbito. (*)</w:t>
      </w:r>
    </w:p>
    <w:p>
      <w:pPr>
        <w:spacing w:after="120"/>
        <w:jc w:val="both"/>
      </w:pPr>
      <w:r>
        <w:rPr>
          <w:sz w:val="22"/>
          <w:szCs w:val="22"/>
        </w:rPr>
        <w:t xml:space="preserve">Tienen por finalidad el cumplimiento de los deberes territoriales de cesión, equidistribución de cargas y beneficios, retorno de las valoraciones, urbanización, construcción o desarrollo entre otros.</w:t>
      </w:r>
    </w:p>
    <w:p>
      <w:pPr>
        <w:spacing w:after="120"/>
        <w:jc w:val="both"/>
      </w:pPr>
      <w:r>
        <w:rPr>
          <w:sz w:val="22"/>
          <w:szCs w:val="22"/>
        </w:rPr>
        <w:t xml:space="preserve">El acuerdo para autorizar la formulación de un Programa de Actuación Integrada se adoptará por la Intendencia Municipal de oficio o a instancia de parte, la que deberá presentar la propuesta del ámbito sugerido y justificación de la viabilidad de la actuación.</w:t>
      </w:r>
    </w:p>
    <w:p>
      <w:pPr>
        <w:spacing w:after="120"/>
        <w:jc w:val="both"/>
      </w:pPr>
      <w:r>
        <w:rPr>
          <w:sz w:val="22"/>
          <w:szCs w:val="22"/>
        </w:rPr>
        <w:t xml:space="preserve">La Intendencia Municipal podrá autorizar la elaboración del Programa de Actuación Integrada y la posterior ejecución por gestión pública, privada o mixta, según los criterios establecidos en la Ordenanza Departamental.</w:t>
      </w:r>
    </w:p>
    <w:p>
      <w:pPr>
        <w:spacing w:after="120"/>
        <w:jc w:val="both"/>
      </w:pPr>
      <w:r>
        <w:rPr>
          <w:sz w:val="22"/>
          <w:szCs w:val="22"/>
        </w:rPr>
        <w:t xml:space="preserve">La elaboración por iniciativa privada únicamente podrá autorizarse cuando cuente con la conformidad de la mayoría de los propietarios de suelo en el ámbito propuesto y se ofrezcan garantías suficientes de su ejecución, todo ello en arreglo a lo que establezca la Ordenanza Departamental correspondiente.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1º) redacción dada por: Ley Nº 20.212 de 06/11/2023 artículo </w:t>
      </w:r>
      <w:hyperlink w:history="1" r:id="rIdixsw9seuwpqgrkgbvky9i">
        <w:r>
          <w:rPr>
            <w:rStyle w:val="Hyperlink"/>
            <w:rFonts w:ascii="Arial" w:cs="Arial" w:eastAsia="Arial" w:hAnsi="Arial"/>
            <w:sz w:val="17"/>
            <w:szCs w:val="17"/>
          </w:rPr>
          <w:t xml:space="preserve">379</w:t>
        </w:r>
      </w:hyperlink>
      <w:r>
        <w:rPr>
          <w:rFonts w:ascii="Arial" w:cs="Arial" w:eastAsia="Arial" w:hAnsi="Arial"/>
          <w:color w:val="555555"/>
          <w:sz w:val="17"/>
          <w:szCs w:val="17"/>
        </w:rPr>
        <w:t xml:space="preserve">.
Inciso 1º) ver vigencia: Ley Nº 20.212 de 06/11/2023 artículo </w:t>
      </w:r>
      <w:hyperlink w:history="1" r:id="rIdqwwm7azl2vujmq3wecnne">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18.308 de 18/06/2008 artículo </w:t>
      </w:r>
      <w:hyperlink w:history="1" r:id="rIdmwu7fplyftmtefgkdpinz">
        <w:r>
          <w:rPr>
            <w:rStyle w:val="Hyperlink"/>
            <w:rFonts w:ascii="Arial" w:cs="Arial" w:eastAsia="Arial" w:hAnsi="Arial"/>
            <w:sz w:val="17"/>
            <w:szCs w:val="17"/>
          </w:rPr>
          <w:t xml:space="preserve">21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21 BIS</w:t>
      </w:r>
      <w:r>
        <w:rPr>
          <w:rFonts w:ascii="Arial" w:cs="Arial" w:eastAsia="Arial" w:hAnsi="Arial"/>
          <w:color w:val="555555"/>
          <w:sz w:val="22"/>
          <w:szCs w:val="22"/>
        </w:rPr>
        <w:t xml:space="preserve"> · Artículo 21-BIS</w:t>
      </w:r>
    </w:p>
    <w:p>
      <w:pPr>
        <w:spacing w:after="120"/>
        <w:jc w:val="both"/>
      </w:pPr>
      <w:r>
        <w:rPr>
          <w:sz w:val="22"/>
          <w:szCs w:val="22"/>
        </w:rPr>
        <w:t xml:space="preserve">(Tipos de Programas de Actuación Integrada).- El Programa de Actuación</w:t>
      </w:r>
    </w:p>
    <w:p>
      <w:pPr>
        <w:spacing w:after="120"/>
        <w:jc w:val="both"/>
      </w:pPr>
      <w:r>
        <w:rPr>
          <w:sz w:val="22"/>
          <w:szCs w:val="22"/>
        </w:rPr>
        <w:t xml:space="preserve">Integrada como instrumento que habilita la transformación de suelo,</w:t>
      </w:r>
    </w:p>
    <w:p>
      <w:pPr>
        <w:spacing w:after="120"/>
        <w:jc w:val="both"/>
      </w:pPr>
      <w:r>
        <w:rPr>
          <w:sz w:val="22"/>
          <w:szCs w:val="22"/>
        </w:rPr>
        <w:t xml:space="preserve">podrá ser Abreviado o Complementario.</w:t>
      </w:r>
    </w:p>
    <w:p>
      <w:pPr>
        <w:spacing w:after="120"/>
        <w:ind w:left="567"/>
        <w:jc w:val="both"/>
      </w:pPr>
      <w:r>
        <w:rPr>
          <w:sz w:val="22"/>
          <w:szCs w:val="22"/>
        </w:rPr>
        <w:t xml:space="preserve">A) Programa de Actuación Integrada (PAI) Abreviado es el que se realiza</w:t>
      </w:r>
    </w:p>
    <w:p>
      <w:pPr>
        <w:spacing w:after="120"/>
        <w:jc w:val="both"/>
      </w:pPr>
      <w:r>
        <w:rPr>
          <w:sz w:val="22"/>
          <w:szCs w:val="22"/>
        </w:rPr>
        <w:t xml:space="preserve">en un sector del territorio en el cual la planificación departamental</w:t>
      </w:r>
    </w:p>
    <w:p>
      <w:pPr>
        <w:spacing w:after="120"/>
        <w:jc w:val="both"/>
      </w:pPr>
      <w:r>
        <w:rPr>
          <w:sz w:val="22"/>
          <w:szCs w:val="22"/>
        </w:rPr>
        <w:t xml:space="preserve">asignó el atributo de potencialmente transformable, y cumple con lo</w:t>
      </w:r>
    </w:p>
    <w:p>
      <w:pPr>
        <w:spacing w:after="120"/>
        <w:jc w:val="both"/>
      </w:pPr>
      <w:r>
        <w:rPr>
          <w:sz w:val="22"/>
          <w:szCs w:val="22"/>
        </w:rPr>
        <w:t xml:space="preserve">establecido en dicha planificación respecto de la categoría y uso</w:t>
      </w:r>
    </w:p>
    <w:p>
      <w:pPr>
        <w:spacing w:after="120"/>
        <w:jc w:val="both"/>
      </w:pPr>
      <w:r>
        <w:rPr>
          <w:sz w:val="22"/>
          <w:szCs w:val="22"/>
        </w:rPr>
        <w:t xml:space="preserve">general del suelo previsto, el modelo territorial de ocupación y</w:t>
      </w:r>
    </w:p>
    <w:p>
      <w:pPr>
        <w:spacing w:after="120"/>
        <w:jc w:val="both"/>
      </w:pPr>
      <w:r>
        <w:rPr>
          <w:sz w:val="22"/>
          <w:szCs w:val="22"/>
        </w:rPr>
        <w:t xml:space="preserve">densidad, los aspectos ambientales relevantes considerados y que se</w:t>
      </w:r>
    </w:p>
    <w:p>
      <w:pPr>
        <w:spacing w:after="120"/>
        <w:jc w:val="both"/>
      </w:pPr>
      <w:r>
        <w:rPr>
          <w:sz w:val="22"/>
          <w:szCs w:val="22"/>
        </w:rPr>
        <w:t xml:space="preserve">deberán tener en cuenta en el resto de las determinaciones; así como</w:t>
      </w:r>
    </w:p>
    <w:p>
      <w:pPr>
        <w:spacing w:after="120"/>
        <w:jc w:val="both"/>
      </w:pPr>
      <w:r>
        <w:rPr>
          <w:sz w:val="22"/>
          <w:szCs w:val="22"/>
        </w:rPr>
        <w:t xml:space="preserve">los demás requisitos que establezca la reglamentación. El Programa de</w:t>
      </w:r>
    </w:p>
    <w:p>
      <w:pPr>
        <w:spacing w:after="120"/>
        <w:jc w:val="both"/>
      </w:pPr>
      <w:r>
        <w:rPr>
          <w:sz w:val="22"/>
          <w:szCs w:val="22"/>
        </w:rPr>
        <w:t xml:space="preserve">Actuación Integrada Abreviado no requiere aprobación de evaluación</w:t>
      </w:r>
    </w:p>
    <w:p>
      <w:pPr>
        <w:spacing w:after="120"/>
        <w:jc w:val="both"/>
      </w:pPr>
      <w:r>
        <w:rPr>
          <w:sz w:val="22"/>
          <w:szCs w:val="22"/>
        </w:rPr>
        <w:t xml:space="preserve">ambiental estratégica ni expedición de informe de correspondencia y</w:t>
      </w:r>
    </w:p>
    <w:p>
      <w:pPr>
        <w:spacing w:after="120"/>
        <w:jc w:val="both"/>
      </w:pPr>
      <w:r>
        <w:rPr>
          <w:sz w:val="22"/>
          <w:szCs w:val="22"/>
        </w:rPr>
        <w:t xml:space="preserve">será obligatoria una única instancia de participación pública, ya sea</w:t>
      </w:r>
    </w:p>
    <w:p>
      <w:pPr>
        <w:spacing w:after="120"/>
        <w:jc w:val="both"/>
      </w:pPr>
      <w:r>
        <w:rPr>
          <w:sz w:val="22"/>
          <w:szCs w:val="22"/>
        </w:rPr>
        <w:t xml:space="preserve">la audiencia pública o la puesta de manifiesto, sin perjuicio de su</w:t>
      </w:r>
    </w:p>
    <w:p>
      <w:pPr>
        <w:spacing w:after="120"/>
        <w:jc w:val="both"/>
      </w:pPr>
      <w:r>
        <w:rPr>
          <w:sz w:val="22"/>
          <w:szCs w:val="22"/>
        </w:rPr>
        <w:t xml:space="preserve">difusión. (*)</w:t>
      </w:r>
    </w:p>
    <w:p>
      <w:pPr>
        <w:spacing w:after="120"/>
        <w:ind w:left="567"/>
        <w:jc w:val="both"/>
      </w:pPr>
      <w:r>
        <w:rPr>
          <w:sz w:val="22"/>
          <w:szCs w:val="22"/>
        </w:rPr>
        <w:t xml:space="preserve">B) PAI Complementario es el que se aplica a un sector del territorio de</w:t>
      </w:r>
    </w:p>
    <w:p>
      <w:pPr>
        <w:spacing w:after="120"/>
        <w:jc w:val="both"/>
      </w:pPr>
      <w:r>
        <w:rPr>
          <w:sz w:val="22"/>
          <w:szCs w:val="22"/>
        </w:rPr>
        <w:t xml:space="preserve">cualquier categoría de suelo que no cuenta con el atributo de</w:t>
      </w:r>
    </w:p>
    <w:p>
      <w:pPr>
        <w:spacing w:after="120"/>
        <w:jc w:val="both"/>
      </w:pPr>
      <w:r>
        <w:rPr>
          <w:sz w:val="22"/>
          <w:szCs w:val="22"/>
        </w:rPr>
        <w:t xml:space="preserve">potencialmente transformable, o modifica la categoría, el uso</w:t>
      </w:r>
    </w:p>
    <w:p>
      <w:pPr>
        <w:spacing w:after="120"/>
        <w:jc w:val="both"/>
      </w:pPr>
      <w:r>
        <w:rPr>
          <w:sz w:val="22"/>
          <w:szCs w:val="22"/>
        </w:rPr>
        <w:t xml:space="preserve">principal o la morfología prevista para un sector de suelo que ya</w:t>
      </w:r>
    </w:p>
    <w:p>
      <w:pPr>
        <w:spacing w:after="120"/>
        <w:jc w:val="both"/>
      </w:pPr>
      <w:r>
        <w:rPr>
          <w:sz w:val="22"/>
          <w:szCs w:val="22"/>
        </w:rPr>
        <w:t xml:space="preserve">cuenta con el atributo de potencialmente transformable. En el caso de</w:t>
      </w:r>
    </w:p>
    <w:p>
      <w:pPr>
        <w:spacing w:after="120"/>
        <w:jc w:val="both"/>
      </w:pPr>
      <w:r>
        <w:rPr>
          <w:sz w:val="22"/>
          <w:szCs w:val="22"/>
        </w:rPr>
        <w:t xml:space="preserve">suelo rural que no cuente con el atributo de potencialmente</w:t>
      </w:r>
    </w:p>
    <w:p>
      <w:pPr>
        <w:spacing w:after="120"/>
        <w:jc w:val="both"/>
      </w:pPr>
      <w:r>
        <w:rPr>
          <w:sz w:val="22"/>
          <w:szCs w:val="22"/>
        </w:rPr>
        <w:t xml:space="preserve">transformable, la transformación del suelo deberá ser declarada de</w:t>
      </w:r>
    </w:p>
    <w:p>
      <w:pPr>
        <w:spacing w:after="120"/>
        <w:jc w:val="both"/>
      </w:pPr>
      <w:r>
        <w:rPr>
          <w:sz w:val="22"/>
          <w:szCs w:val="22"/>
        </w:rPr>
        <w:t xml:space="preserve">interés departamental. El Programa de Actuación Integrada</w:t>
      </w:r>
    </w:p>
    <w:p>
      <w:pPr>
        <w:spacing w:after="120"/>
        <w:jc w:val="both"/>
      </w:pPr>
      <w:r>
        <w:rPr>
          <w:sz w:val="22"/>
          <w:szCs w:val="22"/>
        </w:rPr>
        <w:t xml:space="preserve">Complementario deberá cumplir con la totalidad de los procedimientos e</w:t>
      </w:r>
    </w:p>
    <w:p>
      <w:pPr>
        <w:spacing w:after="120"/>
        <w:jc w:val="both"/>
      </w:pPr>
      <w:r>
        <w:rPr>
          <w:sz w:val="22"/>
          <w:szCs w:val="22"/>
        </w:rPr>
        <w:t xml:space="preserve">instancias de participación previstas en esta ley.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Literal A) redacción dada por: Ley Nº 20.446 de 16/12/2025 artículo </w:t>
      </w:r>
      <w:hyperlink w:history="1" r:id="rIdviekbtmqq3rs8bxzrqocr">
        <w:r>
          <w:rPr>
            <w:rStyle w:val="Hyperlink"/>
            <w:rFonts w:ascii="Arial" w:cs="Arial" w:eastAsia="Arial" w:hAnsi="Arial"/>
            <w:sz w:val="17"/>
            <w:szCs w:val="17"/>
          </w:rPr>
          <w:t xml:space="preserve">420</w:t>
        </w:r>
      </w:hyperlink>
      <w:r>
        <w:rPr>
          <w:rFonts w:ascii="Arial" w:cs="Arial" w:eastAsia="Arial" w:hAnsi="Arial"/>
          <w:color w:val="555555"/>
          <w:sz w:val="17"/>
          <w:szCs w:val="17"/>
        </w:rPr>
        <w:t xml:space="preserve">.
Ver vigencia: Ley Nº 20.212 de 06/11/2023 artículo </w:t>
      </w:r>
      <w:hyperlink w:history="1" r:id="rIde6bhj2amnfgfrlo6sct_m">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Literal A) ver vigencia: Ley Nº 20.446 de 16/12/2025 artículo </w:t>
      </w:r>
      <w:hyperlink w:history="1" r:id="rIdv8lsooz_p5xh4wvjylbei">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Agregado/s por: Ley Nº 20.212 de 06/11/2023 artículo </w:t>
      </w:r>
      <w:hyperlink w:history="1" r:id="rIdzaue6zn0otv1fqnhkvf_o">
        <w:r>
          <w:rPr>
            <w:rStyle w:val="Hyperlink"/>
            <w:rFonts w:ascii="Arial" w:cs="Arial" w:eastAsia="Arial" w:hAnsi="Arial"/>
            <w:sz w:val="17"/>
            <w:szCs w:val="17"/>
          </w:rPr>
          <w:t xml:space="preserve">396</w:t>
        </w:r>
      </w:hyperlink>
      <w:r>
        <w:rPr>
          <w:rFonts w:ascii="Arial" w:cs="Arial" w:eastAsia="Arial" w:hAnsi="Arial"/>
          <w:color w:val="555555"/>
          <w:sz w:val="17"/>
          <w:szCs w:val="17"/>
        </w:rPr>
        <w:t xml:space="preserve">.
Reglamentado por: Decreto </w:t>
      </w:r>
      <w:hyperlink w:history="1" r:id="rIdoex_vnoltwtmvzd9ta_5g">
        <w:r>
          <w:rPr>
            <w:rStyle w:val="Hyperlink"/>
            <w:rFonts w:ascii="Arial" w:cs="Arial" w:eastAsia="Arial" w:hAnsi="Arial"/>
            <w:sz w:val="17"/>
            <w:szCs w:val="17"/>
          </w:rPr>
          <w:t xml:space="preserve">Nº 128/026</w:t>
        </w:r>
      </w:hyperlink>
      <w:r>
        <w:rPr>
          <w:rFonts w:ascii="Arial" w:cs="Arial" w:eastAsia="Arial" w:hAnsi="Arial"/>
          <w:color w:val="555555"/>
          <w:sz w:val="17"/>
          <w:szCs w:val="17"/>
        </w:rPr>
        <w:t xml:space="preserve"> de 04/06/2026.
Ver en esta norma, artículo: </w:t>
      </w:r>
      <w:hyperlink w:history="1" r:id="rIdjypsgiowaufetg9tpi-7o">
        <w:r>
          <w:rPr>
            <w:rStyle w:val="Hyperlink"/>
            <w:rFonts w:ascii="Arial" w:cs="Arial" w:eastAsia="Arial" w:hAnsi="Arial"/>
            <w:sz w:val="17"/>
            <w:szCs w:val="17"/>
          </w:rPr>
          <w:t xml:space="preserve">25</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20.212 de 06/11/2023 artículo </w:t>
      </w:r>
      <w:hyperlink w:history="1" r:id="rId_6umyjt39j2bhd8-vj0ig">
        <w:r>
          <w:rPr>
            <w:rStyle w:val="Hyperlink"/>
            <w:rFonts w:ascii="Arial" w:cs="Arial" w:eastAsia="Arial" w:hAnsi="Arial"/>
            <w:sz w:val="17"/>
            <w:szCs w:val="17"/>
          </w:rPr>
          <w:t xml:space="preserve">396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22</w:t>
      </w:r>
      <w:r>
        <w:rPr>
          <w:rFonts w:ascii="Arial" w:cs="Arial" w:eastAsia="Arial" w:hAnsi="Arial"/>
          <w:color w:val="555555"/>
          <w:sz w:val="22"/>
          <w:szCs w:val="22"/>
        </w:rPr>
        <w:t xml:space="preserve"> · Inventarios, Catálogos y otros instrumentos de protección de Bienes y Espacios</w:t>
      </w:r>
    </w:p>
    <w:p>
      <w:pPr>
        <w:spacing w:after="120"/>
        <w:jc w:val="both"/>
      </w:pPr>
      <w:r>
        <w:rPr>
          <w:sz w:val="22"/>
          <w:szCs w:val="22"/>
        </w:rPr>
        <w:t xml:space="preserve">(Inventarios, Catálogos y otros instrumentos de protección de Bienes y Espacios).- Son instrumentos complementarios de ordenamiento territorial, que identifican y determinan el régimen de protección para las construcciones, conjuntos de edificaciones y otros bienes, espacios públicos, sectores territoriales o zonas de paisaje en los que las intervenciones se someten a requisitos restrictivos a fin de asegurar su conservación o preservación acordes con su interés cultural de carácter histórico, arqueológico, artístico, arquitectónico, ambiental o patrimonial de cualquier orden.</w:t>
      </w:r>
    </w:p>
    <w:p>
      <w:pPr>
        <w:spacing w:after="120"/>
        <w:jc w:val="both"/>
      </w:pPr>
      <w:r>
        <w:rPr>
          <w:sz w:val="22"/>
          <w:szCs w:val="22"/>
        </w:rPr>
        <w:t xml:space="preserve">Estos se podrán aprobar como documentos independientes o integrados en los otros instrumentos de ordenamiento territorial y desarrollo sostenible.</w:t>
      </w:r>
    </w:p>
    <w:p>
      <w:pPr>
        <w:spacing w:after="120"/>
        <w:jc w:val="both"/>
      </w:pPr>
      <w:r>
        <w:rPr>
          <w:sz w:val="22"/>
          <w:szCs w:val="22"/>
        </w:rPr>
        <w:t xml:space="preserve">Las Intendencias Municipales mantendrán un registro actualizado de todos los inmuebles inventariados y catalogados, con información suficiente de su situación física y jurídica así como las medidas y grado de protección a que estén sujetos. Esta información deberá ser inscripta en el Inventario Nacional de Ordenamiento Territorial.</w:t>
      </w:r>
    </w:p>
    <w:p>
      <w:pPr>
        <w:pStyle w:val="Heading3"/>
      </w:pPr>
      <w:r>
        <w:t xml:space="preserve">CAPÍTULO V - ELABORACION DE LOS INSTRUMENTOS DE ORDENAMIENTO TERRITORIAL Y DESARROLLO SOSTENIBLE</w:t>
      </w:r>
    </w:p>
    <w:p>
      <w:pPr>
        <w:pStyle w:val="Articulo"/>
        <w:keepNext/>
        <w:spacing w:after="120" w:before="280"/>
      </w:pPr>
      <w:r>
        <w:rPr>
          <w:rFonts w:ascii="Arial" w:cs="Arial" w:eastAsia="Arial" w:hAnsi="Arial"/>
          <w:b/>
          <w:bCs/>
          <w:color w:val="14213D"/>
          <w:sz w:val="22"/>
          <w:szCs w:val="22"/>
        </w:rPr>
        <w:t xml:space="preserve">Artículo 23</w:t>
      </w:r>
      <w:r>
        <w:rPr>
          <w:rFonts w:ascii="Arial" w:cs="Arial" w:eastAsia="Arial" w:hAnsi="Arial"/>
          <w:color w:val="555555"/>
          <w:sz w:val="22"/>
          <w:szCs w:val="22"/>
        </w:rPr>
        <w:t xml:space="preserve"> · Elaboración de los instrumentos de ámbito departamental</w:t>
      </w:r>
    </w:p>
    <w:p>
      <w:pPr>
        <w:spacing w:after="120"/>
        <w:jc w:val="both"/>
      </w:pPr>
      <w:r>
        <w:rPr>
          <w:sz w:val="22"/>
          <w:szCs w:val="22"/>
        </w:rPr>
        <w:t xml:space="preserve">(Elaboración de los instrumentos de ámbito departamental).- El Intendente elaborará y someterá los instrumentos del ámbito departamental a la Junta Departamental respectiva para su aprobación, sin perjuicio de la iniciativa legislativa que a ésta corresponde.</w:t>
      </w:r>
    </w:p>
    <w:p>
      <w:pPr>
        <w:spacing w:after="120"/>
        <w:jc w:val="both"/>
      </w:pPr>
      <w:r>
        <w:rPr>
          <w:sz w:val="22"/>
          <w:szCs w:val="22"/>
        </w:rPr>
        <w:t xml:space="preserve">El Poder Ejecutivo, los entes y servicios públicos prestarán su colaboración y facilitarán los documentos e información necesarios.</w:t>
      </w:r>
    </w:p>
    <w:p>
      <w:pPr>
        <w:spacing w:after="120"/>
        <w:jc w:val="both"/>
      </w:pPr>
      <w:r>
        <w:rPr>
          <w:sz w:val="22"/>
          <w:szCs w:val="22"/>
        </w:rPr>
        <w:t xml:space="preserve">A estos efectos, desde el inicio del proceso de elaboración del Instrumento, la Intendencia correspondiente podrá solicitar a la Dirección Nacional de Ordenamiento Territorial, que facilite las coordinaciones interinstitucionales que se entiendan pertinentes.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3º) ver vigencia: Ley Nº 20.446 de 16/12/2025 artículo </w:t>
      </w:r>
      <w:hyperlink w:history="1" r:id="rIdfuxhdttreqyouhgmjnbvk">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Inciso 3º) agregado/s por: Ley Nº 20.446 de 16/12/2025 artículo </w:t>
      </w:r>
      <w:hyperlink w:history="1" r:id="rIdsoiv4x7oj91kd3zcpkasu">
        <w:r>
          <w:rPr>
            <w:rStyle w:val="Hyperlink"/>
            <w:rFonts w:ascii="Arial" w:cs="Arial" w:eastAsia="Arial" w:hAnsi="Arial"/>
            <w:sz w:val="17"/>
            <w:szCs w:val="17"/>
          </w:rPr>
          <w:t xml:space="preserve">425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24</w:t>
      </w:r>
      <w:r>
        <w:rPr>
          <w:rFonts w:ascii="Arial" w:cs="Arial" w:eastAsia="Arial" w:hAnsi="Arial"/>
          <w:color w:val="555555"/>
          <w:sz w:val="22"/>
          <w:szCs w:val="22"/>
        </w:rPr>
        <w:t xml:space="preserve"> · Puesta de Manifiesto. Suspensión cautelar</w:t>
      </w:r>
    </w:p>
    <w:p>
      <w:pPr>
        <w:spacing w:after="120"/>
        <w:jc w:val="both"/>
      </w:pPr>
      <w:r>
        <w:rPr>
          <w:sz w:val="22"/>
          <w:szCs w:val="22"/>
        </w:rPr>
        <w:t xml:space="preserve">(Puesta de Manifiesto. Suspensión cautelar).- En el proceso de elaboración de los instrumentos de los ámbitos regional, departamental e interdepartamental se redactará el avance que contenga los principales estudios realizados y los criterios y propuestas generales que orientarán la formulación del documento final.</w:t>
      </w:r>
    </w:p>
    <w:p>
      <w:pPr>
        <w:spacing w:after="120"/>
        <w:jc w:val="both"/>
      </w:pPr>
      <w:r>
        <w:rPr>
          <w:sz w:val="22"/>
          <w:szCs w:val="22"/>
        </w:rPr>
        <w:t xml:space="preserve">El órgano competente dispondrá, en todos los casos indicados en el inciso precedente, la Puesta de Manifiesto del avance por un período no menor a los treinta días a efectos de la consulta y recepción de las observaciones, la que será ampliamente difundida.</w:t>
      </w:r>
    </w:p>
    <w:p>
      <w:pPr>
        <w:spacing w:after="120"/>
        <w:jc w:val="both"/>
      </w:pPr>
      <w:r>
        <w:rPr>
          <w:sz w:val="22"/>
          <w:szCs w:val="22"/>
        </w:rPr>
        <w:t xml:space="preserve">A partir del inicio de la elaboración de los instrumentos, los gobiernos departamentales podrán establecer fundadamente la suspensión cautelar de las autorizaciones de uso, fraccionamiento, urbanización, construcción o demolición, en ámbitos territoriales estratégicos, de oportunidad o que sea necesario proteger, debiendo en este último caso dictar las disposiciones de protección correspondientes. La suspensión cautelar se extinguirá, en todos los casos, con la aprobación definitiva del instrumento respectivo.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3º) redacción dada por: Ley Nº 20.212 de 06/11/2023 artículo </w:t>
      </w:r>
      <w:hyperlink w:history="1" r:id="rIdrg22rod4e248yv-1bipcr">
        <w:r>
          <w:rPr>
            <w:rStyle w:val="Hyperlink"/>
            <w:rFonts w:ascii="Arial" w:cs="Arial" w:eastAsia="Arial" w:hAnsi="Arial"/>
            <w:sz w:val="17"/>
            <w:szCs w:val="17"/>
          </w:rPr>
          <w:t xml:space="preserve">380</w:t>
        </w:r>
      </w:hyperlink>
      <w:r>
        <w:rPr>
          <w:rFonts w:ascii="Arial" w:cs="Arial" w:eastAsia="Arial" w:hAnsi="Arial"/>
          <w:color w:val="555555"/>
          <w:sz w:val="17"/>
          <w:szCs w:val="17"/>
        </w:rPr>
        <w:t xml:space="preserve">.
Inciso 3º) ver vigencia: Ley Nº 20.212 de 06/11/2023 artículo </w:t>
      </w:r>
      <w:hyperlink w:history="1" r:id="rIdxhhynkluwvgjyahjopgtb">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18.308 de 18/06/2008 artículo </w:t>
      </w:r>
      <w:hyperlink w:history="1" r:id="rIdozvfo__vci7n52a8u60va">
        <w:r>
          <w:rPr>
            <w:rStyle w:val="Hyperlink"/>
            <w:rFonts w:ascii="Arial" w:cs="Arial" w:eastAsia="Arial" w:hAnsi="Arial"/>
            <w:sz w:val="17"/>
            <w:szCs w:val="17"/>
          </w:rPr>
          <w:t xml:space="preserve">24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25</w:t>
      </w:r>
      <w:r>
        <w:rPr>
          <w:rFonts w:ascii="Arial" w:cs="Arial" w:eastAsia="Arial" w:hAnsi="Arial"/>
          <w:color w:val="555555"/>
          <w:sz w:val="22"/>
          <w:szCs w:val="22"/>
        </w:rPr>
        <w:t xml:space="preserve"> · Aprobación previa y Audiencia Pública</w:t>
      </w:r>
    </w:p>
    <w:p>
      <w:pPr>
        <w:spacing w:after="120"/>
        <w:jc w:val="both"/>
      </w:pPr>
      <w:r>
        <w:rPr>
          <w:sz w:val="22"/>
          <w:szCs w:val="22"/>
        </w:rPr>
        <w:t xml:space="preserve">(Aprobación previa y Audiencia Pública).- Los proyectos de instrumentos de ordenamiento territorial se someterán a la consideración del Intendente para su aprobación previa y a los efectos de la apertura del período de participación pública y solicitud de informes.</w:t>
      </w:r>
    </w:p>
    <w:p>
      <w:pPr>
        <w:spacing w:after="120"/>
        <w:jc w:val="both"/>
      </w:pPr>
      <w:r>
        <w:rPr>
          <w:sz w:val="22"/>
          <w:szCs w:val="22"/>
        </w:rPr>
        <w:t xml:space="preserve">La audiencia pública será obligatoria para los Planes Locales y para los Instrumentos Especiales, siendo su realización facultativa para los restantes instrumentos, sin perjuicio de lo dispuesto en el artículo 21-Bis.</w:t>
      </w:r>
    </w:p>
    <w:p>
      <w:pPr>
        <w:spacing w:after="120"/>
        <w:jc w:val="both"/>
      </w:pPr>
      <w:r>
        <w:rPr>
          <w:sz w:val="22"/>
          <w:szCs w:val="22"/>
        </w:rPr>
        <w:t xml:space="preserve">La publicación de la aprobación previa, cuando así se disponga con anuencia de la Junta Departamental, determinará la suspensión de las autorizaciones en trámite de usos, fraccionamientos, urbanización, construcción o demolición en los ámbitos en que las nuevas determinaciones supongan modificación del régimen vigente. Esta suspensión se extinguirá con la aprobación definitiva del instrumento respectivo.</w:t>
      </w:r>
    </w:p>
    <w:p>
      <w:pPr>
        <w:spacing w:after="120"/>
        <w:jc w:val="both"/>
      </w:pPr>
      <w:r>
        <w:rPr>
          <w:sz w:val="22"/>
          <w:szCs w:val="22"/>
        </w:rPr>
        <w:t xml:space="preserve">Se deberá solicitar informes a las instituciones públicas, entes y servicios descentralizados respecto a las incidencias territoriales en el ámbito del instrumento.</w:t>
      </w:r>
    </w:p>
    <w:p>
      <w:pPr>
        <w:spacing w:after="120"/>
        <w:jc w:val="both"/>
      </w:pPr>
      <w:r>
        <w:rPr>
          <w:sz w:val="22"/>
          <w:szCs w:val="22"/>
        </w:rPr>
        <w:t xml:space="preserve">Previo a la aprobación definitiva, se deberá solicitar al Ministerio de Vivienda y Ordenamiento Territorial (MVOT) el informe sobre la correspondencia del instrumento con los demás vigentes y al Ministerio de Ambiente (MA), la aprobación de la Evaluación Ambiental Estratégica. Cada uno de los ministerios dispondrá de un plazo para expedirse de treinta días hábiles desde la recepción de la solicitud correspondiente, vencido el cual, sin pronunciamiento, se entenderá como emitido en sentido favorable.</w:t>
      </w:r>
    </w:p>
    <w:p>
      <w:pPr>
        <w:spacing w:after="120"/>
        <w:jc w:val="both"/>
      </w:pPr>
      <w:r>
        <w:rPr>
          <w:sz w:val="22"/>
          <w:szCs w:val="22"/>
        </w:rPr>
        <w:t xml:space="preserve">Dentro del plazo indicado, el MVOT y el MA podrán formular observaciones o realizar solicitudes de información complementaria, a cuyos efectos se otorgará vista, por el término de diez días hábiles. La notificación en forma de la vista otorgada interrumpirá el plazo de treinta días hábiles previsto en este artículo.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20.446 de 16/12/2025 artículo </w:t>
      </w:r>
      <w:hyperlink w:history="1" r:id="rIdw75jdoxc2gd0nhtk4v8fz">
        <w:r>
          <w:rPr>
            <w:rStyle w:val="Hyperlink"/>
            <w:rFonts w:ascii="Arial" w:cs="Arial" w:eastAsia="Arial" w:hAnsi="Arial"/>
            <w:sz w:val="17"/>
            <w:szCs w:val="17"/>
          </w:rPr>
          <w:t xml:space="preserve">426</w:t>
        </w:r>
      </w:hyperlink>
      <w:r>
        <w:rPr>
          <w:rFonts w:ascii="Arial" w:cs="Arial" w:eastAsia="Arial" w:hAnsi="Arial"/>
          <w:color w:val="555555"/>
          <w:sz w:val="17"/>
          <w:szCs w:val="17"/>
        </w:rPr>
        <w:t xml:space="preserve">.
Ver vigencia: Ley Nº 20.446 de 16/12/2025 artículo </w:t>
      </w:r>
      <w:hyperlink w:history="1" r:id="rIdfscl4yfs4sdwytjuybqvi">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18.308 de 18/06/2008 artículo </w:t>
      </w:r>
      <w:hyperlink w:history="1" r:id="rIdfzp_x5obepkddarinjxrq">
        <w:r>
          <w:rPr>
            <w:rStyle w:val="Hyperlink"/>
            <w:rFonts w:ascii="Arial" w:cs="Arial" w:eastAsia="Arial" w:hAnsi="Arial"/>
            <w:sz w:val="17"/>
            <w:szCs w:val="17"/>
          </w:rPr>
          <w:t xml:space="preserve">25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26</w:t>
      </w:r>
      <w:r>
        <w:rPr>
          <w:rFonts w:ascii="Arial" w:cs="Arial" w:eastAsia="Arial" w:hAnsi="Arial"/>
          <w:color w:val="555555"/>
          <w:sz w:val="22"/>
          <w:szCs w:val="22"/>
        </w:rPr>
        <w:t xml:space="preserve"> · Naturaleza jurídica. Publicación</w:t>
      </w:r>
    </w:p>
    <w:p>
      <w:pPr>
        <w:spacing w:after="120"/>
        <w:jc w:val="both"/>
      </w:pPr>
      <w:r>
        <w:rPr>
          <w:sz w:val="22"/>
          <w:szCs w:val="22"/>
        </w:rPr>
        <w:t xml:space="preserve">(Naturaleza jurídica. Publicación).- Los instrumentos del ámbito departamental tendrán la naturaleza jurídica de Decretos Departamentales a todos sus efectos.</w:t>
      </w:r>
    </w:p>
    <w:p>
      <w:pPr>
        <w:spacing w:after="120"/>
        <w:jc w:val="both"/>
      </w:pPr>
      <w:r>
        <w:rPr>
          <w:sz w:val="22"/>
          <w:szCs w:val="22"/>
        </w:rPr>
        <w:t xml:space="preserve">La omisión de las instancias obligatorias de participación social acarreará la nulidad del instrumento de ordenamiento territorial pertinente.</w:t>
      </w:r>
    </w:p>
    <w:p>
      <w:pPr>
        <w:spacing w:after="120"/>
        <w:jc w:val="both"/>
      </w:pPr>
      <w:r>
        <w:rPr>
          <w:sz w:val="22"/>
          <w:szCs w:val="22"/>
        </w:rPr>
        <w:t xml:space="preserve">Todos los instrumentos previstos en la presente ley deberán ser publicados en el Diario Oficial.</w:t>
      </w:r>
    </w:p>
    <w:p>
      <w:pPr>
        <w:pStyle w:val="Articulo"/>
        <w:keepNext/>
        <w:spacing w:after="120" w:before="280"/>
      </w:pPr>
      <w:r>
        <w:rPr>
          <w:rFonts w:ascii="Arial" w:cs="Arial" w:eastAsia="Arial" w:hAnsi="Arial"/>
          <w:b/>
          <w:bCs/>
          <w:color w:val="14213D"/>
          <w:sz w:val="22"/>
          <w:szCs w:val="22"/>
        </w:rPr>
        <w:t xml:space="preserve">Artículo 27</w:t>
      </w:r>
      <w:r>
        <w:rPr>
          <w:rFonts w:ascii="Arial" w:cs="Arial" w:eastAsia="Arial" w:hAnsi="Arial"/>
          <w:color w:val="555555"/>
          <w:sz w:val="22"/>
          <w:szCs w:val="22"/>
        </w:rPr>
        <w:t xml:space="preserve"> · Efectos de la entrada en vigor de los Instrumentos de Ordenamiento Territorial</w:t>
      </w:r>
    </w:p>
    <w:p>
      <w:pPr>
        <w:spacing w:after="120"/>
        <w:jc w:val="both"/>
      </w:pPr>
      <w:r>
        <w:rPr>
          <w:sz w:val="22"/>
          <w:szCs w:val="22"/>
        </w:rPr>
        <w:t xml:space="preserve">(Efectos de la entrada en vigor de los Instrumentos de Ordenamiento Territorial).- La entrada en vigor de los instrumentos previstos en la presente ley producirá los siguientes efectos:</w:t>
      </w:r>
    </w:p>
    <w:p>
      <w:pPr>
        <w:spacing w:after="120"/>
        <w:ind w:left="567"/>
        <w:jc w:val="both"/>
      </w:pPr>
      <w:r>
        <w:rPr>
          <w:sz w:val="22"/>
          <w:szCs w:val="22"/>
        </w:rPr>
        <w:t xml:space="preserve">a) La vinculación de los terrenos, instalaciones y edificaciones al</w:t>
      </w:r>
    </w:p>
    <w:p>
      <w:pPr>
        <w:spacing w:after="120"/>
        <w:jc w:val="both"/>
      </w:pPr>
      <w:r>
        <w:rPr>
          <w:sz w:val="22"/>
          <w:szCs w:val="22"/>
        </w:rPr>
        <w:t xml:space="preserve">destino definido por el instrumento y al régimen jurídico del suelo que</w:t>
      </w:r>
    </w:p>
    <w:p>
      <w:pPr>
        <w:spacing w:after="120"/>
        <w:jc w:val="both"/>
      </w:pPr>
      <w:r>
        <w:rPr>
          <w:sz w:val="22"/>
          <w:szCs w:val="22"/>
        </w:rPr>
        <w:t xml:space="preserve">les sea de aplicación.</w:t>
      </w:r>
    </w:p>
    <w:p>
      <w:pPr>
        <w:spacing w:after="120"/>
        <w:ind w:left="567"/>
        <w:jc w:val="both"/>
      </w:pPr>
      <w:r>
        <w:rPr>
          <w:sz w:val="22"/>
          <w:szCs w:val="22"/>
        </w:rPr>
        <w:t xml:space="preserve">b) No podrán otorgarse autorizaciones contrarias a las disposiciones</w:t>
      </w:r>
    </w:p>
    <w:p>
      <w:pPr>
        <w:spacing w:after="120"/>
        <w:jc w:val="both"/>
      </w:pPr>
      <w:r>
        <w:rPr>
          <w:sz w:val="22"/>
          <w:szCs w:val="22"/>
        </w:rPr>
        <w:t xml:space="preserve">de los instrumentos. Esta determinación alcanza al proceso de</w:t>
      </w:r>
    </w:p>
    <w:p>
      <w:pPr>
        <w:spacing w:after="120"/>
        <w:jc w:val="both"/>
      </w:pPr>
      <w:r>
        <w:rPr>
          <w:sz w:val="22"/>
          <w:szCs w:val="22"/>
        </w:rPr>
        <w:t xml:space="preserve">Autorización Ambiental Previa que se tramitará sólo para proyectos</w:t>
      </w:r>
    </w:p>
    <w:p>
      <w:pPr>
        <w:spacing w:after="120"/>
        <w:jc w:val="both"/>
      </w:pPr>
      <w:r>
        <w:rPr>
          <w:sz w:val="22"/>
          <w:szCs w:val="22"/>
        </w:rPr>
        <w:t xml:space="preserve">encuadrados en el instrumento de ordenamiento territorial aplicable. En</w:t>
      </w:r>
    </w:p>
    <w:p>
      <w:pPr>
        <w:spacing w:after="120"/>
        <w:jc w:val="both"/>
      </w:pPr>
      <w:r>
        <w:rPr>
          <w:sz w:val="22"/>
          <w:szCs w:val="22"/>
        </w:rPr>
        <w:t xml:space="preserve">los casos de apertura de minas y canteras quedará habilitada de oficio</w:t>
      </w:r>
    </w:p>
    <w:p>
      <w:pPr>
        <w:spacing w:after="120"/>
        <w:jc w:val="both"/>
      </w:pPr>
      <w:r>
        <w:rPr>
          <w:sz w:val="22"/>
          <w:szCs w:val="22"/>
        </w:rPr>
        <w:t xml:space="preserve">la gestión para la posible revisión del instrumento que se trate.</w:t>
      </w:r>
    </w:p>
    <w:p>
      <w:pPr>
        <w:spacing w:after="120"/>
        <w:ind w:left="567"/>
        <w:jc w:val="both"/>
      </w:pPr>
      <w:r>
        <w:rPr>
          <w:sz w:val="22"/>
          <w:szCs w:val="22"/>
        </w:rPr>
        <w:t xml:space="preserve">c) La declaración automática de fuera de ordenamiento, total o</w:t>
      </w:r>
    </w:p>
    <w:p>
      <w:pPr>
        <w:spacing w:after="120"/>
        <w:jc w:val="both"/>
      </w:pPr>
      <w:r>
        <w:rPr>
          <w:sz w:val="22"/>
          <w:szCs w:val="22"/>
        </w:rPr>
        <w:t xml:space="preserve">parcialmente incompatibles con el instrumento respectivo, para las</w:t>
      </w:r>
    </w:p>
    <w:p>
      <w:pPr>
        <w:spacing w:after="120"/>
        <w:jc w:val="both"/>
      </w:pPr>
      <w:r>
        <w:rPr>
          <w:sz w:val="22"/>
          <w:szCs w:val="22"/>
        </w:rPr>
        <w:t xml:space="preserve">instalaciones, construcciones, fraccionamientos o usos, concretados con</w:t>
      </w:r>
    </w:p>
    <w:p>
      <w:pPr>
        <w:spacing w:after="120"/>
        <w:jc w:val="both"/>
      </w:pPr>
      <w:r>
        <w:rPr>
          <w:sz w:val="22"/>
          <w:szCs w:val="22"/>
        </w:rPr>
        <w:t xml:space="preserve">anterioridad a la entrada en vigor y que resulten disconformes con el</w:t>
      </w:r>
    </w:p>
    <w:p>
      <w:pPr>
        <w:spacing w:after="120"/>
        <w:jc w:val="both"/>
      </w:pPr>
      <w:r>
        <w:rPr>
          <w:sz w:val="22"/>
          <w:szCs w:val="22"/>
        </w:rPr>
        <w:t xml:space="preserve">nuevo ordenamiento.</w:t>
      </w:r>
    </w:p>
    <w:p>
      <w:pPr>
        <w:spacing w:after="120"/>
        <w:ind w:left="567"/>
        <w:jc w:val="both"/>
      </w:pPr>
      <w:r>
        <w:rPr>
          <w:sz w:val="22"/>
          <w:szCs w:val="22"/>
        </w:rPr>
        <w:t xml:space="preserve">d) La obligatoriedad del cumplimiento de sus determinaciones de</w:t>
      </w:r>
    </w:p>
    <w:p>
      <w:pPr>
        <w:spacing w:after="120"/>
        <w:jc w:val="both"/>
      </w:pPr>
      <w:r>
        <w:rPr>
          <w:sz w:val="22"/>
          <w:szCs w:val="22"/>
        </w:rPr>
        <w:t xml:space="preserve">carácter vinculante para todas las personas, públicas y privadas.</w:t>
      </w:r>
    </w:p>
    <w:p>
      <w:pPr>
        <w:spacing w:after="120"/>
        <w:ind w:left="567"/>
        <w:jc w:val="both"/>
      </w:pPr>
      <w:r>
        <w:rPr>
          <w:sz w:val="22"/>
          <w:szCs w:val="22"/>
        </w:rPr>
        <w:t xml:space="preserve">e) La obligatoriedad de sus determinaciones a los efectos de la</w:t>
      </w:r>
    </w:p>
    <w:p>
      <w:pPr>
        <w:spacing w:after="120"/>
        <w:jc w:val="both"/>
      </w:pPr>
      <w:r>
        <w:rPr>
          <w:sz w:val="22"/>
          <w:szCs w:val="22"/>
        </w:rPr>
        <w:t xml:space="preserve">aplicación por la Administración de los medios de ejecución forzosa</w:t>
      </w:r>
    </w:p>
    <w:p>
      <w:pPr>
        <w:spacing w:after="120"/>
        <w:jc w:val="both"/>
      </w:pPr>
      <w:r>
        <w:rPr>
          <w:sz w:val="22"/>
          <w:szCs w:val="22"/>
        </w:rPr>
        <w:t xml:space="preserve">frente a los incumplimientos.</w:t>
      </w:r>
    </w:p>
    <w:p>
      <w:pPr>
        <w:spacing w:after="120"/>
        <w:ind w:left="567"/>
        <w:jc w:val="both"/>
      </w:pPr>
      <w:r>
        <w:rPr>
          <w:sz w:val="22"/>
          <w:szCs w:val="22"/>
        </w:rPr>
        <w:t xml:space="preserve">f) La declaración de utilidad pública sobre los terrenos,</w:t>
      </w:r>
    </w:p>
    <w:p>
      <w:pPr>
        <w:spacing w:after="120"/>
        <w:jc w:val="both"/>
      </w:pPr>
      <w:r>
        <w:rPr>
          <w:sz w:val="22"/>
          <w:szCs w:val="22"/>
        </w:rPr>
        <w:t xml:space="preserve">instalaciones y construcciones correspondientes, cuando prevean obras</w:t>
      </w:r>
    </w:p>
    <w:p>
      <w:pPr>
        <w:spacing w:after="120"/>
        <w:jc w:val="both"/>
      </w:pPr>
      <w:r>
        <w:rPr>
          <w:sz w:val="22"/>
          <w:szCs w:val="22"/>
        </w:rPr>
        <w:t xml:space="preserve">públicas o delimiten ámbitos de actuación a ejecutar mediante</w:t>
      </w:r>
    </w:p>
    <w:p>
      <w:pPr>
        <w:spacing w:after="120"/>
        <w:jc w:val="both"/>
      </w:pPr>
      <w:r>
        <w:rPr>
          <w:sz w:val="22"/>
          <w:szCs w:val="22"/>
        </w:rPr>
        <w:t xml:space="preserve">expropiación.</w:t>
      </w:r>
    </w:p>
    <w:p>
      <w:pPr>
        <w:spacing w:after="120"/>
        <w:jc w:val="both"/>
      </w:pPr>
      <w:r>
        <w:rPr>
          <w:sz w:val="22"/>
          <w:szCs w:val="22"/>
        </w:rPr>
        <w:t xml:space="preserve">Existiendo instrumento vigente, el Ministerio de Vivienda, Ordenamiento Territorial y Medio Ambiente (MVOTMA), la Comisión Honoraria Pro-Erradicación de la Vivienda Rural Insalubre (MEVIR) y toda entidad pública, deberán construir las viviendas objeto de su competencia únicamente dentro de las previsiones de dichos instrumentos, obteniendo previamente el permiso de construcción respectivo. Esta disposición también rige para todo tipo de construcciones de la Administración Central, los Entes Autónomos y Servicios Descentralizados, cuando construyan por sí o mediante contrato de cualquier tipo.</w:t>
      </w:r>
    </w:p>
    <w:p>
      <w:pPr>
        <w:spacing w:after="120"/>
        <w:jc w:val="both"/>
      </w:pPr>
      <w:r>
        <w:rPr>
          <w:sz w:val="22"/>
          <w:szCs w:val="22"/>
        </w:rPr>
        <w:t xml:space="preserve">El Ministerio de Vivienda, Ordenamiento Territorial y Medio Ambiente (MVOTMA) expedirá un dictamen técnico de Viabilidad Territorial en caso de no existir instrumentos de ordenamiento y desarrollo territorial vigentes y aplicables para la zona de implantación de un emprendimiento para el que corresponda la autorización ambiental previa de acuerdo con la Ley N° 16.466, de 19 de enero de 1994 y su reglamentación.</w:t>
      </w:r>
    </w:p>
    <w:p>
      <w:pPr>
        <w:pStyle w:val="Articulo"/>
        <w:keepNext/>
        <w:spacing w:after="120" w:before="280"/>
      </w:pPr>
      <w:r>
        <w:rPr>
          <w:rFonts w:ascii="Arial" w:cs="Arial" w:eastAsia="Arial" w:hAnsi="Arial"/>
          <w:b/>
          <w:bCs/>
          <w:color w:val="14213D"/>
          <w:sz w:val="22"/>
          <w:szCs w:val="22"/>
        </w:rPr>
        <w:t xml:space="preserve">Artículo 28</w:t>
      </w:r>
      <w:r>
        <w:rPr>
          <w:rFonts w:ascii="Arial" w:cs="Arial" w:eastAsia="Arial" w:hAnsi="Arial"/>
          <w:color w:val="555555"/>
          <w:sz w:val="22"/>
          <w:szCs w:val="22"/>
        </w:rPr>
        <w:t xml:space="preserve"> · Seguimiento durante la vigencia</w:t>
      </w:r>
    </w:p>
    <w:p>
      <w:pPr>
        <w:spacing w:after="120"/>
        <w:jc w:val="both"/>
      </w:pPr>
      <w:r>
        <w:rPr>
          <w:sz w:val="22"/>
          <w:szCs w:val="22"/>
        </w:rPr>
        <w:t xml:space="preserve">(Seguimiento durante la vigencia).- Los instrumentos de ordenamiento territorial conforme a la presente ley deberán prever mecanismos de seguimiento, control y evaluación técnica y monitoreo ciudadano, durante el período de vigencia. Las entidades públicas responsables de la implementación y aplicación de las disposiciones de los instrumentos deberán rendir cuenta de su actividad regularmente, poniendo de manifiesto los resultados de su gestión.</w:t>
      </w:r>
    </w:p>
    <w:p>
      <w:pPr>
        <w:pStyle w:val="Articulo"/>
        <w:keepNext/>
        <w:spacing w:after="120" w:before="280"/>
      </w:pPr>
      <w:r>
        <w:rPr>
          <w:rFonts w:ascii="Arial" w:cs="Arial" w:eastAsia="Arial" w:hAnsi="Arial"/>
          <w:b/>
          <w:bCs/>
          <w:color w:val="14213D"/>
          <w:sz w:val="22"/>
          <w:szCs w:val="22"/>
        </w:rPr>
        <w:t xml:space="preserve">Artículo 29</w:t>
      </w:r>
      <w:r>
        <w:rPr>
          <w:rFonts w:ascii="Arial" w:cs="Arial" w:eastAsia="Arial" w:hAnsi="Arial"/>
          <w:color w:val="555555"/>
          <w:sz w:val="22"/>
          <w:szCs w:val="22"/>
        </w:rPr>
        <w:t xml:space="preserve"> · Revisión de los Instrumentos de Ordenamiento Territorial</w:t>
      </w:r>
    </w:p>
    <w:p>
      <w:pPr>
        <w:spacing w:after="120"/>
        <w:jc w:val="both"/>
      </w:pPr>
      <w:r>
        <w:rPr>
          <w:sz w:val="22"/>
          <w:szCs w:val="22"/>
        </w:rPr>
        <w:t xml:space="preserve">(Revisión de los Instrumentos de Ordenamiento Territorial).- Las modificaciones en las determinaciones de los instrumentos deberán ser establecidas por instrumentos de igual jerarquía y observando los procedimientos establecidos en la presente ley para su elaboración y aprobación.</w:t>
      </w:r>
    </w:p>
    <w:p>
      <w:pPr>
        <w:spacing w:after="120"/>
        <w:jc w:val="both"/>
      </w:pPr>
      <w:r>
        <w:rPr>
          <w:sz w:val="22"/>
          <w:szCs w:val="22"/>
        </w:rPr>
        <w:t xml:space="preserve">Toda alteración del ordenamiento establecida por un instrumento que aumente la edificabilidad o desafecte el suelo de un destino público, deberá contemplar las medidas compensatorias para mantener la proporcionalidad y calidad de los equipamientos.</w:t>
      </w:r>
    </w:p>
    <w:p>
      <w:pPr>
        <w:spacing w:after="120"/>
        <w:jc w:val="both"/>
      </w:pPr>
      <w:r>
        <w:rPr>
          <w:sz w:val="22"/>
          <w:szCs w:val="22"/>
        </w:rPr>
        <w:t xml:space="preserve">Los instrumentos serán revisados cuando se produzcan los supuestos o circunstancias que él mismo defina, así como siempre que se pretenda introducir alteraciones en él o en el territorio.</w:t>
      </w:r>
    </w:p>
    <w:p>
      <w:pPr>
        <w:spacing w:after="120"/>
        <w:jc w:val="both"/>
      </w:pPr>
      <w:r>
        <w:rPr>
          <w:sz w:val="22"/>
          <w:szCs w:val="22"/>
        </w:rPr>
        <w:t xml:space="preserve">Los instrumentos podrán prever procedimientos de revisión menos exigentes para modificaciones de aquellas determinaciones que hayan definido como no sustanciales, sin perjuicio que las mismas deberán ser establecidas por normas de igual jerarquía.</w:t>
      </w:r>
    </w:p>
    <w:p>
      <w:pPr>
        <w:spacing w:after="120"/>
        <w:jc w:val="both"/>
      </w:pPr>
      <w:r>
        <w:rPr>
          <w:sz w:val="22"/>
          <w:szCs w:val="22"/>
        </w:rPr>
        <w:t xml:space="preserve">Se consideran modificaciones no sustanciales, entre otras, los ajustes que requiera el texto o cartografía, como correcciones numéricas, por errores o fusiones y fraccionamientos de padrones durante el proceso de elaboración del instrumento, o divergencias menores entre la cartografía y el texto que se remite a ella; así como el pasaje de suelo categoría urbana no consolidado a urbana consolidado, en tanto dicha transformación se encuentre prevista en el instrumento de ordenamiento territorial. (*)</w:t>
      </w:r>
    </w:p>
    <w:p>
      <w:pPr>
        <w:spacing w:after="120"/>
        <w:jc w:val="both"/>
      </w:pPr>
      <w:r>
        <w:rPr>
          <w:sz w:val="22"/>
          <w:szCs w:val="22"/>
        </w:rPr>
        <w:t xml:space="preserve">No podrán ser consideradas modificaciones no sustanciales, la adopción de nuevos criterios de ordenamiento para el conjunto de los elementos estructurales o sustanciales que definen el cometido y contenido de cada instrumento, y, las que puedan provocar cambios en el modelo territorial adoptado, tales como la categoría de suelo primaria, la subcategoría rural natural, las afectaciones urbanísticas o aspectos ambientales, con implicancias de transformación en el modelo territorial.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Incisos 5º) y 6º) ver vigencia: Ley Nº 20.446 de 16/12/2025 artículo </w:t>
      </w:r>
      <w:hyperlink w:history="1" r:id="rIdcm61egsmbtbqnr5-x03vv">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Incisos 5º) y 6º) agregado/s por: Ley Nº 20.446 de 16/12/2025 artículo 
</w:t>
      </w:r>
      <w:hyperlink w:history="1" r:id="rIdvjxxvujabrl2qygbzy0vl">
        <w:r>
          <w:rPr>
            <w:rStyle w:val="Hyperlink"/>
            <w:rFonts w:ascii="Arial" w:cs="Arial" w:eastAsia="Arial" w:hAnsi="Arial"/>
            <w:sz w:val="17"/>
            <w:szCs w:val="17"/>
          </w:rPr>
          <w:t xml:space="preserve">427</w:t>
        </w:r>
      </w:hyperlink>
      <w:r>
        <w:rPr>
          <w:rFonts w:ascii="Arial" w:cs="Arial" w:eastAsia="Arial" w:hAnsi="Arial"/>
          <w:color w:val="555555"/>
          <w:sz w:val="17"/>
          <w:szCs w:val="17"/>
        </w:rPr>
        <w:t xml:space="preserve">.</w:t>
      </w:r>
    </w:p>
    <w:p>
      <w:pPr>
        <w:pStyle w:val="Heading2"/>
      </w:pPr>
      <w:r>
        <w:t xml:space="preserve">TÍTULO IV - LA PLANIFICACION PARA EL DESARROLLO SOSTENIBLE</w:t>
      </w:r>
    </w:p>
    <w:p>
      <w:pPr>
        <w:pStyle w:val="Heading3"/>
      </w:pPr>
      <w:r>
        <w:t xml:space="preserve">CAPÍTULO I - DISPOSICIONES BASICAS</w:t>
      </w:r>
    </w:p>
    <w:p>
      <w:pPr>
        <w:pStyle w:val="Articulo"/>
        <w:keepNext/>
        <w:spacing w:after="120" w:before="280"/>
      </w:pPr>
      <w:r>
        <w:rPr>
          <w:rFonts w:ascii="Arial" w:cs="Arial" w:eastAsia="Arial" w:hAnsi="Arial"/>
          <w:b/>
          <w:bCs/>
          <w:color w:val="14213D"/>
          <w:sz w:val="22"/>
          <w:szCs w:val="22"/>
        </w:rPr>
        <w:t xml:space="preserve">Artículo 30</w:t>
      </w:r>
      <w:r>
        <w:rPr>
          <w:rFonts w:ascii="Arial" w:cs="Arial" w:eastAsia="Arial" w:hAnsi="Arial"/>
          <w:color w:val="555555"/>
          <w:sz w:val="22"/>
          <w:szCs w:val="22"/>
        </w:rPr>
        <w:t xml:space="preserve"> · Categorización de suelo en el territorio</w:t>
      </w:r>
    </w:p>
    <w:p>
      <w:pPr>
        <w:spacing w:after="120"/>
        <w:jc w:val="both"/>
      </w:pPr>
      <w:r>
        <w:rPr>
          <w:sz w:val="22"/>
          <w:szCs w:val="22"/>
        </w:rPr>
        <w:t xml:space="preserve">(Categorización de suelo en el territorio).- La competencia exclusiva del gobierno departamental para la categorización de suelo en el territorio del departamento, como determinación sustancial, se ejercerá mediante los instrumentos de ordenamiento territorial del ámbito departamental.</w:t>
      </w:r>
    </w:p>
    <w:p>
      <w:pPr>
        <w:spacing w:after="120"/>
        <w:jc w:val="both"/>
      </w:pPr>
      <w:r>
        <w:rPr>
          <w:sz w:val="22"/>
          <w:szCs w:val="22"/>
        </w:rPr>
        <w:t xml:space="preserve">El suelo se podrá categorizar en: rural, urbano o suburbano. Las categorías de suelo deberán reflejar las situaciones existentes o las previstas que concurran de manera inmediata en cada una de las zonas del territorio objeto de ordenación, de acuerdo a los supuestos definidos en la ley.</w:t>
      </w:r>
    </w:p>
    <w:p>
      <w:pPr>
        <w:spacing w:after="120"/>
        <w:jc w:val="both"/>
      </w:pPr>
      <w:r>
        <w:rPr>
          <w:sz w:val="22"/>
          <w:szCs w:val="22"/>
        </w:rPr>
        <w:t xml:space="preserve">Para la planificación de los usos futuros de suelo se utilizará el atributo de potencialmente transformable y demás condiciones previstas en el artículo 34 de esta ley. (*)</w:t>
      </w:r>
    </w:p>
    <w:p>
      <w:pPr>
        <w:spacing w:after="120"/>
        <w:jc w:val="both"/>
      </w:pPr>
      <w:r>
        <w:rPr>
          <w:sz w:val="22"/>
          <w:szCs w:val="22"/>
        </w:rPr>
        <w:t xml:space="preserve">Para cada categoría podrán disponerse en los instrumentos subcategorías, además de las que se establecen en la presente ley.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20.212 de 06/11/2023 artículo </w:t>
      </w:r>
      <w:hyperlink w:history="1" r:id="rIdt4jps6izouyrkuyuajyjy">
        <w:r>
          <w:rPr>
            <w:rStyle w:val="Hyperlink"/>
            <w:rFonts w:ascii="Arial" w:cs="Arial" w:eastAsia="Arial" w:hAnsi="Arial"/>
            <w:sz w:val="17"/>
            <w:szCs w:val="17"/>
          </w:rPr>
          <w:t xml:space="preserve">381</w:t>
        </w:r>
      </w:hyperlink>
      <w:r>
        <w:rPr>
          <w:rFonts w:ascii="Arial" w:cs="Arial" w:eastAsia="Arial" w:hAnsi="Arial"/>
          <w:color w:val="555555"/>
          <w:sz w:val="17"/>
          <w:szCs w:val="17"/>
        </w:rPr>
        <w:t xml:space="preserve">.
Inciso 3º) redacción dada por: Ley Nº 20.446 de 16/12/2025 artículo </w:t>
      </w:r>
      <w:hyperlink w:history="1" r:id="rIdrhyvxqxln05aezy5wu3r_">
        <w:r>
          <w:rPr>
            <w:rStyle w:val="Hyperlink"/>
            <w:rFonts w:ascii="Arial" w:cs="Arial" w:eastAsia="Arial" w:hAnsi="Arial"/>
            <w:sz w:val="17"/>
            <w:szCs w:val="17"/>
          </w:rPr>
          <w:t xml:space="preserve">421</w:t>
        </w:r>
      </w:hyperlink>
      <w:r>
        <w:rPr>
          <w:rFonts w:ascii="Arial" w:cs="Arial" w:eastAsia="Arial" w:hAnsi="Arial"/>
          <w:color w:val="555555"/>
          <w:sz w:val="17"/>
          <w:szCs w:val="17"/>
        </w:rPr>
        <w:t xml:space="preserve">.
Ver vigencia: Ley Nº 20.212 de 06/11/2023 artículo </w:t>
      </w:r>
      <w:hyperlink w:history="1" r:id="rIdamsm4pfci-vcpdhydqcfn">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Inciso 3º) ver vigencia: Ley Nº 20.446 de 16/12/2025 artículo </w:t>
      </w:r>
      <w:hyperlink w:history="1" r:id="rIdacljszkcpkzqytbr-ix6a">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20.212 de 06/11/2023 artículo </w:t>
      </w:r>
      <w:hyperlink w:history="1" r:id="rIdcjh66ehbe4fx0j5gpb6_t">
        <w:r>
          <w:rPr>
            <w:rStyle w:val="Hyperlink"/>
            <w:rFonts w:ascii="Arial" w:cs="Arial" w:eastAsia="Arial" w:hAnsi="Arial"/>
            <w:sz w:val="17"/>
            <w:szCs w:val="17"/>
          </w:rPr>
          <w:t xml:space="preserve">381</w:t>
        </w:r>
      </w:hyperlink>
      <w:r>
        <w:rPr>
          <w:rFonts w:ascii="Arial" w:cs="Arial" w:eastAsia="Arial" w:hAnsi="Arial"/>
          <w:color w:val="555555"/>
          <w:sz w:val="17"/>
          <w:szCs w:val="17"/>
        </w:rPr>
        <w:t xml:space="preserve">,
 Ley Nº 18.308 de 18/06/2008 artículo </w:t>
      </w:r>
      <w:hyperlink w:history="1" r:id="rId9sjriubz-ixpspuzdodbu">
        <w:r>
          <w:rPr>
            <w:rStyle w:val="Hyperlink"/>
            <w:rFonts w:ascii="Arial" w:cs="Arial" w:eastAsia="Arial" w:hAnsi="Arial"/>
            <w:sz w:val="17"/>
            <w:szCs w:val="17"/>
          </w:rPr>
          <w:t xml:space="preserve">30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31</w:t>
      </w:r>
      <w:r>
        <w:rPr>
          <w:rFonts w:ascii="Arial" w:cs="Arial" w:eastAsia="Arial" w:hAnsi="Arial"/>
          <w:color w:val="555555"/>
          <w:sz w:val="22"/>
          <w:szCs w:val="22"/>
        </w:rPr>
        <w:t xml:space="preserve"> · Suelo Categoría Rural</w:t>
      </w:r>
    </w:p>
    <w:p>
      <w:pPr>
        <w:spacing w:after="120"/>
        <w:jc w:val="both"/>
      </w:pPr>
      <w:r>
        <w:rPr>
          <w:sz w:val="22"/>
          <w:szCs w:val="22"/>
        </w:rPr>
        <w:t xml:space="preserve">(Suelo Categoría Rural).- Comprenderá las áreas de territorio que los instrumentos de ordenamiento territorial categoricen como tales, incluyendo las subcategorías:</w:t>
      </w:r>
    </w:p>
    <w:p>
      <w:pPr>
        <w:spacing w:after="120"/>
        <w:ind w:left="567"/>
        <w:jc w:val="both"/>
      </w:pPr>
      <w:r>
        <w:rPr>
          <w:sz w:val="22"/>
          <w:szCs w:val="22"/>
        </w:rPr>
        <w:t xml:space="preserve">a) Rural productiva, que podrá comprender áreas de territorio cuyo</w:t>
      </w:r>
    </w:p>
    <w:p>
      <w:pPr>
        <w:spacing w:after="120"/>
        <w:jc w:val="both"/>
      </w:pPr>
      <w:r>
        <w:rPr>
          <w:sz w:val="22"/>
          <w:szCs w:val="22"/>
        </w:rPr>
        <w:t xml:space="preserve">destino principal sea la actividad agraria, pecuaria, forestal o</w:t>
      </w:r>
    </w:p>
    <w:p>
      <w:pPr>
        <w:spacing w:after="120"/>
        <w:jc w:val="both"/>
      </w:pPr>
      <w:r>
        <w:rPr>
          <w:sz w:val="22"/>
          <w:szCs w:val="22"/>
        </w:rPr>
        <w:t xml:space="preserve">similar, minera o extractiva, o las que los instrumentos de</w:t>
      </w:r>
    </w:p>
    <w:p>
      <w:pPr>
        <w:spacing w:after="120"/>
        <w:jc w:val="both"/>
      </w:pPr>
      <w:r>
        <w:rPr>
          <w:sz w:val="22"/>
          <w:szCs w:val="22"/>
        </w:rPr>
        <w:t xml:space="preserve">ordenamiento territorial establezcan para asegurar la disponibilidad de</w:t>
      </w:r>
    </w:p>
    <w:p>
      <w:pPr>
        <w:spacing w:after="120"/>
        <w:jc w:val="both"/>
      </w:pPr>
      <w:r>
        <w:rPr>
          <w:sz w:val="22"/>
          <w:szCs w:val="22"/>
        </w:rPr>
        <w:t xml:space="preserve">suelo productivo y áreas en que éste predomine.</w:t>
      </w:r>
    </w:p>
    <w:p>
      <w:pPr>
        <w:spacing w:after="120"/>
        <w:jc w:val="both"/>
      </w:pPr>
      <w:r>
        <w:rPr>
          <w:sz w:val="22"/>
          <w:szCs w:val="22"/>
        </w:rPr>
        <w:t xml:space="preserve">También podrá abarcarse como suelo rural las zonas de territorio con</w:t>
      </w:r>
    </w:p>
    <w:p>
      <w:pPr>
        <w:spacing w:after="120"/>
        <w:jc w:val="both"/>
      </w:pPr>
      <w:r>
        <w:rPr>
          <w:sz w:val="22"/>
          <w:szCs w:val="22"/>
        </w:rPr>
        <w:t xml:space="preserve">aptitud para la producción rural cuando se trate de áreas con</w:t>
      </w:r>
    </w:p>
    <w:p>
      <w:pPr>
        <w:spacing w:after="120"/>
        <w:jc w:val="both"/>
      </w:pPr>
      <w:r>
        <w:rPr>
          <w:sz w:val="22"/>
          <w:szCs w:val="22"/>
        </w:rPr>
        <w:t xml:space="preserve">condiciones para ser destinadas a fines agropecuarios, forestales o</w:t>
      </w:r>
    </w:p>
    <w:p>
      <w:pPr>
        <w:spacing w:after="120"/>
        <w:jc w:val="both"/>
      </w:pPr>
      <w:r>
        <w:rPr>
          <w:sz w:val="22"/>
          <w:szCs w:val="22"/>
        </w:rPr>
        <w:t xml:space="preserve">similares y que no se encuentren en ese uso.</w:t>
      </w:r>
    </w:p>
    <w:p>
      <w:pPr>
        <w:spacing w:after="120"/>
        <w:ind w:left="567"/>
        <w:jc w:val="both"/>
      </w:pPr>
      <w:r>
        <w:rPr>
          <w:sz w:val="22"/>
          <w:szCs w:val="22"/>
        </w:rPr>
        <w:t xml:space="preserve">b) Rural natural, que podrá comprender las áreas de territorio</w:t>
      </w:r>
    </w:p>
    <w:p>
      <w:pPr>
        <w:spacing w:after="120"/>
        <w:jc w:val="both"/>
      </w:pPr>
      <w:r>
        <w:rPr>
          <w:sz w:val="22"/>
          <w:szCs w:val="22"/>
        </w:rPr>
        <w:t xml:space="preserve">protegido con el fin de mantener el medio natural, la biodiversidad o</w:t>
      </w:r>
    </w:p>
    <w:p>
      <w:pPr>
        <w:spacing w:after="120"/>
        <w:jc w:val="both"/>
      </w:pPr>
      <w:r>
        <w:rPr>
          <w:sz w:val="22"/>
          <w:szCs w:val="22"/>
        </w:rPr>
        <w:t xml:space="preserve">proteger el paisaje u otros valores patrimoniales, ambientales o</w:t>
      </w:r>
    </w:p>
    <w:p>
      <w:pPr>
        <w:spacing w:after="120"/>
        <w:jc w:val="both"/>
      </w:pPr>
      <w:r>
        <w:rPr>
          <w:sz w:val="22"/>
          <w:szCs w:val="22"/>
        </w:rPr>
        <w:t xml:space="preserve">espaciales. Podrá comprender, asimismo, el Alveo de las lagunas, lagos,</w:t>
      </w:r>
    </w:p>
    <w:p>
      <w:pPr>
        <w:spacing w:after="120"/>
        <w:jc w:val="both"/>
      </w:pPr>
      <w:r>
        <w:rPr>
          <w:sz w:val="22"/>
          <w:szCs w:val="22"/>
        </w:rPr>
        <w:t xml:space="preserve">embalses y cursos de agua del dominio público o fiscal, del mar</w:t>
      </w:r>
    </w:p>
    <w:p>
      <w:pPr>
        <w:spacing w:after="120"/>
        <w:jc w:val="both"/>
      </w:pPr>
      <w:r>
        <w:rPr>
          <w:sz w:val="22"/>
          <w:szCs w:val="22"/>
        </w:rPr>
        <w:t xml:space="preserve">territorial y las fajas de defensa de costa.</w:t>
      </w:r>
    </w:p>
    <w:p>
      <w:pPr>
        <w:spacing w:after="120"/>
        <w:jc w:val="both"/>
      </w:pPr>
      <w:r>
        <w:rPr>
          <w:sz w:val="22"/>
          <w:szCs w:val="22"/>
        </w:rPr>
        <w:t xml:space="preserve">Los suelos de categoría rural quedan, por definición, excluidos de todo proceso de urbanización, de fraccionamiento con propósito residencial y comprendidos en toda otra limitación que establezcan los instrumentos.</w:t>
      </w:r>
    </w:p>
    <w:p>
      <w:pPr>
        <w:pStyle w:val="Articulo"/>
        <w:keepNext/>
        <w:spacing w:after="120" w:before="280"/>
      </w:pPr>
      <w:r>
        <w:rPr>
          <w:rFonts w:ascii="Arial" w:cs="Arial" w:eastAsia="Arial" w:hAnsi="Arial"/>
          <w:b/>
          <w:bCs/>
          <w:color w:val="14213D"/>
          <w:sz w:val="22"/>
          <w:szCs w:val="22"/>
        </w:rPr>
        <w:t xml:space="preserve">Artículo 32</w:t>
      </w:r>
      <w:r>
        <w:rPr>
          <w:rFonts w:ascii="Arial" w:cs="Arial" w:eastAsia="Arial" w:hAnsi="Arial"/>
          <w:color w:val="555555"/>
          <w:sz w:val="22"/>
          <w:szCs w:val="22"/>
        </w:rPr>
        <w:t xml:space="preserve"> · Suelo Categoría Urbana</w:t>
      </w:r>
    </w:p>
    <w:p>
      <w:pPr>
        <w:spacing w:after="120"/>
        <w:jc w:val="both"/>
      </w:pPr>
      <w:r>
        <w:rPr>
          <w:sz w:val="22"/>
          <w:szCs w:val="22"/>
        </w:rPr>
        <w:t xml:space="preserve">(Suelo Categoría Urbana).- El suelo categoría urbana comprenderá las áreas de territorio de los centros poblados, fraccionadas, con las infraestructuras y servicios en forma regular y total, así como aquellas áreas fraccionadas parcialmente urbanizadas en las que los instrumentos de ordenamiento territorial pretenden mantener o consolidar el proceso de urbanización.</w:t>
      </w:r>
    </w:p>
    <w:p>
      <w:pPr>
        <w:spacing w:after="120"/>
        <w:jc w:val="both"/>
      </w:pPr>
      <w:r>
        <w:rPr>
          <w:sz w:val="22"/>
          <w:szCs w:val="22"/>
        </w:rPr>
        <w:t xml:space="preserve">En el suelo categoría urbana los instrumentos podrán establecer las subcategorías de:</w:t>
      </w:r>
    </w:p>
    <w:p>
      <w:pPr>
        <w:spacing w:after="120"/>
        <w:ind w:left="567"/>
        <w:jc w:val="both"/>
      </w:pPr>
      <w:r>
        <w:rPr>
          <w:sz w:val="22"/>
          <w:szCs w:val="22"/>
        </w:rPr>
        <w:t xml:space="preserve">a) Suelo categoría urbana consolidado, cuando se trate de áreas</w:t>
      </w:r>
    </w:p>
    <w:p>
      <w:pPr>
        <w:spacing w:after="120"/>
        <w:jc w:val="both"/>
      </w:pPr>
      <w:r>
        <w:rPr>
          <w:sz w:val="22"/>
          <w:szCs w:val="22"/>
        </w:rPr>
        <w:t xml:space="preserve">urbanizadas dotadas al menos de redes de agua potable, drenaje de aguas</w:t>
      </w:r>
    </w:p>
    <w:p>
      <w:pPr>
        <w:spacing w:after="120"/>
        <w:jc w:val="both"/>
      </w:pPr>
      <w:r>
        <w:rPr>
          <w:sz w:val="22"/>
          <w:szCs w:val="22"/>
        </w:rPr>
        <w:t xml:space="preserve">pluviales, red vial pavimentada, evacuación de aguas servidas, energía</w:t>
      </w:r>
    </w:p>
    <w:p>
      <w:pPr>
        <w:spacing w:after="120"/>
        <w:jc w:val="both"/>
      </w:pPr>
      <w:r>
        <w:rPr>
          <w:sz w:val="22"/>
          <w:szCs w:val="22"/>
        </w:rPr>
        <w:t xml:space="preserve">eléctrica y alumbrado público; todo ello en calidad y proporción</w:t>
      </w:r>
    </w:p>
    <w:p>
      <w:pPr>
        <w:spacing w:after="120"/>
        <w:jc w:val="both"/>
      </w:pPr>
      <w:r>
        <w:rPr>
          <w:sz w:val="22"/>
          <w:szCs w:val="22"/>
        </w:rPr>
        <w:t xml:space="preserve">adecuada a las necesidades de los usos a que deban destinarse las</w:t>
      </w:r>
    </w:p>
    <w:p>
      <w:pPr>
        <w:spacing w:after="120"/>
        <w:jc w:val="both"/>
      </w:pPr>
      <w:r>
        <w:rPr>
          <w:sz w:val="22"/>
          <w:szCs w:val="22"/>
        </w:rPr>
        <w:t xml:space="preserve">parcelas.</w:t>
      </w:r>
    </w:p>
    <w:p>
      <w:pPr>
        <w:spacing w:after="120"/>
        <w:ind w:left="567"/>
        <w:jc w:val="both"/>
      </w:pPr>
      <w:r>
        <w:rPr>
          <w:sz w:val="22"/>
          <w:szCs w:val="22"/>
        </w:rPr>
        <w:t xml:space="preserve">b) Suelo categoría urbana no consolidado, cuando se trate de áreas en</w:t>
      </w:r>
    </w:p>
    <w:p>
      <w:pPr>
        <w:spacing w:after="120"/>
        <w:jc w:val="both"/>
      </w:pPr>
      <w:r>
        <w:rPr>
          <w:sz w:val="22"/>
          <w:szCs w:val="22"/>
        </w:rPr>
        <w:t xml:space="preserve">las que aún existiendo un mínimo de redes de infraestructuras, las</w:t>
      </w:r>
    </w:p>
    <w:p>
      <w:pPr>
        <w:spacing w:after="120"/>
        <w:jc w:val="both"/>
      </w:pPr>
      <w:r>
        <w:rPr>
          <w:sz w:val="22"/>
          <w:szCs w:val="22"/>
        </w:rPr>
        <w:t xml:space="preserve">mismas no sean suficientes para dar servicio a los usos previstos por</w:t>
      </w:r>
    </w:p>
    <w:p>
      <w:pPr>
        <w:spacing w:after="120"/>
        <w:jc w:val="both"/>
      </w:pPr>
      <w:r>
        <w:rPr>
          <w:sz w:val="22"/>
          <w:szCs w:val="22"/>
        </w:rPr>
        <w:t xml:space="preserve">el instrumento.</w:t>
      </w:r>
    </w:p>
    <w:p>
      <w:pPr>
        <w:spacing w:after="120"/>
        <w:jc w:val="both"/>
      </w:pPr>
      <w:r>
        <w:rPr>
          <w:sz w:val="22"/>
          <w:szCs w:val="22"/>
        </w:rPr>
        <w:t xml:space="preserve">Asimismo podrán tener la categoría de suelo categoría urbana no consolidado las zonas degradadas o en desuso que, de conformidad con las previsiones de los instrumentos, deban ser objeto de actuaciones con la finalidad de su consolidación o renovación.</w:t>
      </w:r>
    </w:p>
    <w:p>
      <w:pPr>
        <w:spacing w:after="120"/>
        <w:jc w:val="both"/>
      </w:pPr>
      <w:r>
        <w:rPr>
          <w:sz w:val="22"/>
          <w:szCs w:val="22"/>
        </w:rPr>
        <w:t xml:space="preserve">A los efectos de lo dispuesto por el numeral 1º del artículo 297 de la Constitución de la República, así como toda otra legislación y en especial sobre fraccionamientos, el concepto de propiedad inmueble urbana se podrá adjudicar al suelo categoría urbana.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cordhcluxdgywy8plengw">
        <w:r>
          <w:rPr>
            <w:rStyle w:val="Hyperlink"/>
            <w:rFonts w:ascii="Arial" w:cs="Arial" w:eastAsia="Arial" w:hAnsi="Arial"/>
            <w:sz w:val="17"/>
            <w:szCs w:val="17"/>
          </w:rPr>
          <w:t xml:space="preserve">38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33</w:t>
      </w:r>
      <w:r>
        <w:rPr>
          <w:rFonts w:ascii="Arial" w:cs="Arial" w:eastAsia="Arial" w:hAnsi="Arial"/>
          <w:color w:val="555555"/>
          <w:sz w:val="22"/>
          <w:szCs w:val="22"/>
        </w:rPr>
        <w:t xml:space="preserve"> · Suelo Categoría Suburbana</w:t>
      </w:r>
    </w:p>
    <w:p>
      <w:pPr>
        <w:spacing w:after="120"/>
        <w:jc w:val="both"/>
      </w:pPr>
      <w:r>
        <w:rPr>
          <w:sz w:val="22"/>
          <w:szCs w:val="22"/>
        </w:rPr>
        <w:t xml:space="preserve">(Suelo Categoría Suburbana).- Comprenderá las áreas de suelo constituidas por enclaves con usos, actividades e instalaciones de tipo urbano o zonas en que éstas predominen, dispersos en el territorio o contiguos a los centros poblados, según lo establezcan los instrumentos de ordenamiento territorial.</w:t>
      </w:r>
    </w:p>
    <w:p>
      <w:pPr>
        <w:spacing w:after="120"/>
        <w:jc w:val="both"/>
      </w:pPr>
      <w:r>
        <w:rPr>
          <w:sz w:val="22"/>
          <w:szCs w:val="22"/>
        </w:rPr>
        <w:t xml:space="preserve">Son instalaciones y construcciones propias de suelo categoría suburbana las: habitacionales, turísticas, residenciales, deportivas, recreativas, industriales, de servicio, logística o similares.</w:t>
      </w:r>
    </w:p>
    <w:p>
      <w:pPr>
        <w:spacing w:after="120"/>
        <w:jc w:val="both"/>
      </w:pPr>
      <w:r>
        <w:rPr>
          <w:sz w:val="22"/>
          <w:szCs w:val="22"/>
        </w:rPr>
        <w:t xml:space="preserve">A los efectos de lo dispuesto por el numeral 1º del artículo 297 de la Constitución de la República, así como toda otra legislación y en especial sobre fraccionamientos, el concepto de propiedad de inmuebles suburbanos se podrá adjudicar, en todo o en parte del predio, indistintamente al suelo categoría suburbana o urbana.</w:t>
      </w:r>
    </w:p>
    <w:p>
      <w:pPr>
        <w:pStyle w:val="Articulo"/>
        <w:keepNext/>
        <w:spacing w:after="120" w:before="280"/>
      </w:pPr>
      <w:r>
        <w:rPr>
          <w:rFonts w:ascii="Arial" w:cs="Arial" w:eastAsia="Arial" w:hAnsi="Arial"/>
          <w:b/>
          <w:bCs/>
          <w:color w:val="14213D"/>
          <w:sz w:val="22"/>
          <w:szCs w:val="22"/>
        </w:rPr>
        <w:t xml:space="preserve">Artículo 34</w:t>
      </w:r>
      <w:r>
        <w:rPr>
          <w:rFonts w:ascii="Arial" w:cs="Arial" w:eastAsia="Arial" w:hAnsi="Arial"/>
          <w:color w:val="555555"/>
          <w:sz w:val="22"/>
          <w:szCs w:val="22"/>
        </w:rPr>
        <w:t xml:space="preserve"> · Atributo de potencialmente transformable</w:t>
      </w:r>
    </w:p>
    <w:p>
      <w:pPr>
        <w:spacing w:after="120"/>
        <w:jc w:val="both"/>
      </w:pPr>
      <w:r>
        <w:rPr>
          <w:sz w:val="22"/>
          <w:szCs w:val="22"/>
        </w:rPr>
        <w:t xml:space="preserve">(Atributo de potencialmente transformable).- Los instrumentos de ordenamiento territorial departamentales podrán delimitar ámbitos de territorio como potencialmente transformables estableciendo la categoría y uso de suelo general previsto, el modelo territorial de ocupación y densidad y los aspectos ambientales relevantes y criterios para su consideración. (*)</w:t>
      </w:r>
    </w:p>
    <w:p>
      <w:pPr>
        <w:spacing w:after="120"/>
        <w:jc w:val="both"/>
      </w:pPr>
      <w:r>
        <w:rPr>
          <w:sz w:val="22"/>
          <w:szCs w:val="22"/>
        </w:rPr>
        <w:t xml:space="preserve">La transformación de la categoría de suelo se efectuará a través de la elaboración y aprobación de un programa de actuación integrada para un perímetro de actuación específicamente delimitado, en alguna de las modalidades previstas en la presente ley.</w:t>
      </w:r>
    </w:p>
    <w:p>
      <w:pPr>
        <w:spacing w:after="120"/>
        <w:jc w:val="both"/>
      </w:pPr>
      <w:r>
        <w:rPr>
          <w:sz w:val="22"/>
          <w:szCs w:val="22"/>
        </w:rPr>
        <w:t xml:space="preserve">Mientras no tenga lugar la aprobación del correspondiente programa de actuación integrada, el suelo con el atributo de potencialmente transformable estará sometido a las determinaciones establecidas para la categoría de suelo en que fuera incluido.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20.212 de 06/11/2023 artículo </w:t>
      </w:r>
      <w:hyperlink w:history="1" r:id="rIdpuspk3holkpp72-elzlop">
        <w:r>
          <w:rPr>
            <w:rStyle w:val="Hyperlink"/>
            <w:rFonts w:ascii="Arial" w:cs="Arial" w:eastAsia="Arial" w:hAnsi="Arial"/>
            <w:sz w:val="17"/>
            <w:szCs w:val="17"/>
          </w:rPr>
          <w:t xml:space="preserve">382</w:t>
        </w:r>
      </w:hyperlink>
      <w:r>
        <w:rPr>
          <w:rFonts w:ascii="Arial" w:cs="Arial" w:eastAsia="Arial" w:hAnsi="Arial"/>
          <w:color w:val="555555"/>
          <w:sz w:val="17"/>
          <w:szCs w:val="17"/>
        </w:rPr>
        <w:t xml:space="preserve">.
Inciso 1º) redacción dada por: Ley Nº 20.446 de 16/12/2025 artículo </w:t>
      </w:r>
      <w:hyperlink w:history="1" r:id="rIda0ssuohnsfn84peredlua">
        <w:r>
          <w:rPr>
            <w:rStyle w:val="Hyperlink"/>
            <w:rFonts w:ascii="Arial" w:cs="Arial" w:eastAsia="Arial" w:hAnsi="Arial"/>
            <w:sz w:val="17"/>
            <w:szCs w:val="17"/>
          </w:rPr>
          <w:t xml:space="preserve">422</w:t>
        </w:r>
      </w:hyperlink>
      <w:r>
        <w:rPr>
          <w:rFonts w:ascii="Arial" w:cs="Arial" w:eastAsia="Arial" w:hAnsi="Arial"/>
          <w:color w:val="555555"/>
          <w:sz w:val="17"/>
          <w:szCs w:val="17"/>
        </w:rPr>
        <w:t xml:space="preserve">.
Ver vigencia: Ley Nº 20.212 de 06/11/2023 artículo </w:t>
      </w:r>
      <w:hyperlink w:history="1" r:id="rId-qopxo_x6llkeyudffti4">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Inciso 1º) ver vigencia: Ley Nº 20.446 de 16/12/2025 artículo </w:t>
      </w:r>
      <w:hyperlink w:history="1" r:id="rId9aplxvad4hnjprtctg4pw">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20.212 de 06/11/2023 artículo </w:t>
      </w:r>
      <w:hyperlink w:history="1" r:id="rIdxcvtvlxoqdowk7tte9po6">
        <w:r>
          <w:rPr>
            <w:rStyle w:val="Hyperlink"/>
            <w:rFonts w:ascii="Arial" w:cs="Arial" w:eastAsia="Arial" w:hAnsi="Arial"/>
            <w:sz w:val="17"/>
            <w:szCs w:val="17"/>
          </w:rPr>
          <w:t xml:space="preserve">382</w:t>
        </w:r>
      </w:hyperlink>
      <w:r>
        <w:rPr>
          <w:rFonts w:ascii="Arial" w:cs="Arial" w:eastAsia="Arial" w:hAnsi="Arial"/>
          <w:color w:val="555555"/>
          <w:sz w:val="17"/>
          <w:szCs w:val="17"/>
        </w:rPr>
        <w:t xml:space="preserve">,
 Ley Nº 18.308 de 18/06/2008 artículo </w:t>
      </w:r>
      <w:hyperlink w:history="1" r:id="rIdkuqrhmwwnyrzutswbhnzw">
        <w:r>
          <w:rPr>
            <w:rStyle w:val="Hyperlink"/>
            <w:rFonts w:ascii="Arial" w:cs="Arial" w:eastAsia="Arial" w:hAnsi="Arial"/>
            <w:sz w:val="17"/>
            <w:szCs w:val="17"/>
          </w:rPr>
          <w:t xml:space="preserve">34</w:t>
        </w:r>
      </w:hyperlink>
      <w:r>
        <w:rPr>
          <w:rFonts w:ascii="Arial" w:cs="Arial" w:eastAsia="Arial" w:hAnsi="Arial"/>
          <w:color w:val="555555"/>
          <w:sz w:val="17"/>
          <w:szCs w:val="17"/>
        </w:rPr>
        <w:t xml:space="preserve">.</w:t>
      </w:r>
    </w:p>
    <w:p>
      <w:pPr>
        <w:pStyle w:val="Heading3"/>
      </w:pPr>
      <w:r>
        <w:t xml:space="preserve">CAPÍTULO II - RÉGIMEN GENERAL DE LOS DERECHOS Y DEBERES TERRITORIALES DE LA PROPIEDAD INMUEBLE</w:t>
      </w:r>
    </w:p>
    <w:p>
      <w:pPr>
        <w:pStyle w:val="Articulo"/>
        <w:keepNext/>
        <w:spacing w:after="120" w:before="280"/>
      </w:pPr>
      <w:r>
        <w:rPr>
          <w:rFonts w:ascii="Arial" w:cs="Arial" w:eastAsia="Arial" w:hAnsi="Arial"/>
          <w:b/>
          <w:bCs/>
          <w:color w:val="14213D"/>
          <w:sz w:val="22"/>
          <w:szCs w:val="22"/>
        </w:rPr>
        <w:t xml:space="preserve">Artículo 35</w:t>
      </w:r>
      <w:r>
        <w:rPr>
          <w:rFonts w:ascii="Arial" w:cs="Arial" w:eastAsia="Arial" w:hAnsi="Arial"/>
          <w:color w:val="555555"/>
          <w:sz w:val="22"/>
          <w:szCs w:val="22"/>
        </w:rPr>
        <w:t xml:space="preserve"> · Derechos generales de la propiedad de suelo</w:t>
      </w:r>
    </w:p>
    <w:p>
      <w:pPr>
        <w:spacing w:after="120"/>
        <w:jc w:val="both"/>
      </w:pPr>
      <w:r>
        <w:rPr>
          <w:sz w:val="22"/>
          <w:szCs w:val="22"/>
        </w:rPr>
        <w:t xml:space="preserve">(Derechos generales de la propiedad de suelo).- Forman parte del contenido del derecho de propiedad de suelo las facultades de utilización, disfrute y explotación normales del bien de acuerdo con su situación, características objetivas y destino de conformidad con la legislación vigente.</w:t>
      </w:r>
    </w:p>
    <w:p>
      <w:pPr>
        <w:spacing w:after="120"/>
        <w:jc w:val="both"/>
      </w:pPr>
      <w:r>
        <w:rPr>
          <w:sz w:val="22"/>
          <w:szCs w:val="22"/>
        </w:rPr>
        <w:t xml:space="preserve">Las limitaciones al derecho de propiedad incluidas en las determinaciones de los instrumentos de ordenamiento territorial se consideran comprendidas en el concepto de interés general declarado en la presente ley y, por remisión a ésta, a la concreción de los mismos que resulte de los instrumentos de ordenamiento territorial.</w:t>
      </w:r>
    </w:p>
    <w:p>
      <w:pPr>
        <w:spacing w:after="120"/>
        <w:jc w:val="both"/>
      </w:pPr>
      <w:r>
        <w:rPr>
          <w:sz w:val="22"/>
          <w:szCs w:val="22"/>
        </w:rPr>
        <w:t xml:space="preserve">El cumplimiento de los deberes vinculados al ordenamiento territorial establecidos por la presente ley es condición para el ejercicio de los derechos de aprovechamiento urbanístico del inmueble.</w:t>
      </w:r>
    </w:p>
    <w:p>
      <w:pPr>
        <w:spacing w:after="120"/>
        <w:jc w:val="both"/>
      </w:pPr>
      <w:r>
        <w:rPr>
          <w:sz w:val="22"/>
          <w:szCs w:val="22"/>
        </w:rPr>
        <w:t xml:space="preserve">El ejercicio del derecho a desarrollar actividades y usos, a modificar, a fraccionar o a construir, por parte de cualquier persona, privada o pública, física o jurídica, en cualquier parte del territorio, está condicionado a la obtención del acto administrativo de autorización respectivo, salvo la excepción prevista en el suelo categoría rural productiva. Será condición para el dictado del presente acto administrativo, el cumplimiento de los deberes territoriales establecidos por la presente ley.</w:t>
      </w:r>
    </w:p>
    <w:p>
      <w:pPr>
        <w:pStyle w:val="Articulo"/>
        <w:keepNext/>
        <w:spacing w:after="120" w:before="280"/>
      </w:pPr>
      <w:r>
        <w:rPr>
          <w:rFonts w:ascii="Arial" w:cs="Arial" w:eastAsia="Arial" w:hAnsi="Arial"/>
          <w:b/>
          <w:bCs/>
          <w:color w:val="14213D"/>
          <w:sz w:val="22"/>
          <w:szCs w:val="22"/>
        </w:rPr>
        <w:t xml:space="preserve">Artículo 36</w:t>
      </w:r>
      <w:r>
        <w:rPr>
          <w:rFonts w:ascii="Arial" w:cs="Arial" w:eastAsia="Arial" w:hAnsi="Arial"/>
          <w:color w:val="555555"/>
          <w:sz w:val="22"/>
          <w:szCs w:val="22"/>
        </w:rPr>
        <w:t xml:space="preserve"> · Derecho de superficie</w:t>
      </w:r>
    </w:p>
    <w:p>
      <w:pPr>
        <w:spacing w:after="120"/>
        <w:jc w:val="both"/>
      </w:pPr>
      <w:r>
        <w:rPr>
          <w:sz w:val="22"/>
          <w:szCs w:val="22"/>
        </w:rPr>
        <w:t xml:space="preserve">(Derecho de superficie).- El propietario de un inmueble, privado o fiscal, podrá conceder a otro el derecho de superficie de su suelo, por un tiempo determinado, en forma gratuita u onerosa, mediante escritura pública registrada y subsiguiente tradición. El derecho de superficie es el derecho real limitado sobre un inmueble ajeno que atribuye temporalmente parte o la totalidad de la propiedad y comprende el derecho a utilizar el bien según las disposiciones generales de la legislación aplicable y dentro del marco de los instrumentos de ordenamiento territorial y conforme al contrato respectivo. El titular del derecho de superficie tendrá respecto al bien objeto del mismo iguales derechos y obligaciones que el propietario del inmueble respecto de éste.</w:t>
      </w:r>
    </w:p>
    <w:p>
      <w:pPr>
        <w:spacing w:after="120"/>
        <w:jc w:val="both"/>
      </w:pPr>
      <w:r>
        <w:rPr>
          <w:sz w:val="22"/>
          <w:szCs w:val="22"/>
        </w:rPr>
        <w:t xml:space="preserve">Extinguido el derecho de superficie, el propietario recuperará el pleno dominio del inmueble, así como las accesiones y mejoras introducidas en éste, salvo estipulación contractual en contrario.</w:t>
      </w:r>
    </w:p>
    <w:p>
      <w:pPr>
        <w:pStyle w:val="Articulo"/>
        <w:keepNext/>
        <w:spacing w:after="120" w:before="280"/>
      </w:pPr>
      <w:r>
        <w:rPr>
          <w:rFonts w:ascii="Arial" w:cs="Arial" w:eastAsia="Arial" w:hAnsi="Arial"/>
          <w:b/>
          <w:bCs/>
          <w:color w:val="14213D"/>
          <w:sz w:val="22"/>
          <w:szCs w:val="22"/>
        </w:rPr>
        <w:t xml:space="preserve">Artículo 36 BIS</w:t>
      </w:r>
      <w:r>
        <w:rPr>
          <w:rFonts w:ascii="Arial" w:cs="Arial" w:eastAsia="Arial" w:hAnsi="Arial"/>
          <w:color w:val="555555"/>
          <w:sz w:val="22"/>
          <w:szCs w:val="22"/>
        </w:rPr>
        <w:t xml:space="preserve"> · Artículo 36-BIS</w:t>
      </w:r>
    </w:p>
    <w:p>
      <w:pPr>
        <w:spacing w:after="120"/>
        <w:jc w:val="both"/>
      </w:pPr>
      <w:r>
        <w:rPr>
          <w:sz w:val="22"/>
          <w:szCs w:val="22"/>
        </w:rPr>
        <w:t xml:space="preserve">Es de aplicación al derecho de superficie la misma normativa sobre dimensiones mínimas de predios o lotes que establece la legislación nacional o departamental (IOT).</w:t>
      </w:r>
    </w:p>
    <w:p>
      <w:pPr>
        <w:spacing w:after="120"/>
        <w:jc w:val="both"/>
      </w:pPr>
      <w:r>
        <w:rPr>
          <w:sz w:val="22"/>
          <w:szCs w:val="22"/>
        </w:rPr>
        <w:t xml:space="preserve">Lo establecido en el inciso anterior no le será de aplicación a aquellos derechos de superficie promovidos por MEVIR - Dr. Alberto Gallinal Heber.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Ley Nº 20.212 de 06/11/2023 artículo </w:t>
      </w:r>
      <w:hyperlink w:history="1" r:id="rIdihetgm9ccclt6iiymdmgq">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Agregado/s por: Ley Nº 20.212 de 06/11/2023 artículo </w:t>
      </w:r>
      <w:hyperlink w:history="1" r:id="rIdhxke0q6ui-hbty74t6ypp">
        <w:r>
          <w:rPr>
            <w:rStyle w:val="Hyperlink"/>
            <w:rFonts w:ascii="Arial" w:cs="Arial" w:eastAsia="Arial" w:hAnsi="Arial"/>
            <w:sz w:val="17"/>
            <w:szCs w:val="17"/>
          </w:rPr>
          <w:t xml:space="preserve">660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37</w:t>
      </w:r>
      <w:r>
        <w:rPr>
          <w:rFonts w:ascii="Arial" w:cs="Arial" w:eastAsia="Arial" w:hAnsi="Arial"/>
          <w:color w:val="555555"/>
          <w:sz w:val="22"/>
          <w:szCs w:val="22"/>
        </w:rPr>
        <w:t xml:space="preserve"> · Deberes generales relativos a la propiedad inmueble</w:t>
      </w:r>
    </w:p>
    <w:p>
      <w:pPr>
        <w:spacing w:after="120"/>
        <w:jc w:val="both"/>
      </w:pPr>
      <w:r>
        <w:rPr>
          <w:sz w:val="22"/>
          <w:szCs w:val="22"/>
        </w:rPr>
        <w:t xml:space="preserve">(Deberes generales relativos a la propiedad inmueble).- Constituyen deberes territoriales para los propietarios de inmuebles, en el marco de la legislación vigente y en función del interés general, entre otros, los siguientes:</w:t>
      </w:r>
    </w:p>
    <w:p>
      <w:pPr>
        <w:spacing w:after="120"/>
        <w:ind w:left="567"/>
        <w:jc w:val="both"/>
      </w:pPr>
      <w:r>
        <w:rPr>
          <w:sz w:val="22"/>
          <w:szCs w:val="22"/>
        </w:rPr>
        <w:t xml:space="preserve">a) Deber de usar. Los propietarios de inmuebles no podrán destinarlos</w:t>
      </w:r>
    </w:p>
    <w:p>
      <w:pPr>
        <w:spacing w:after="120"/>
        <w:jc w:val="both"/>
      </w:pPr>
      <w:r>
        <w:rPr>
          <w:sz w:val="22"/>
          <w:szCs w:val="22"/>
        </w:rPr>
        <w:t xml:space="preserve">a usos contrarios a los previstos por los instrumentos de ordenamiento</w:t>
      </w:r>
    </w:p>
    <w:p>
      <w:pPr>
        <w:spacing w:after="120"/>
        <w:jc w:val="both"/>
      </w:pPr>
      <w:r>
        <w:rPr>
          <w:sz w:val="22"/>
          <w:szCs w:val="22"/>
        </w:rPr>
        <w:t xml:space="preserve">territorial conforme a la presente ley y las determinaciones que se</w:t>
      </w:r>
    </w:p>
    <w:p>
      <w:pPr>
        <w:spacing w:after="120"/>
        <w:jc w:val="both"/>
      </w:pPr>
      <w:r>
        <w:rPr>
          <w:sz w:val="22"/>
          <w:szCs w:val="22"/>
        </w:rPr>
        <w:t xml:space="preserve">establezcan conforme a los mismos durante su aplicación.</w:t>
      </w:r>
    </w:p>
    <w:p>
      <w:pPr>
        <w:spacing w:after="120"/>
        <w:ind w:left="567"/>
        <w:jc w:val="both"/>
      </w:pPr>
      <w:r>
        <w:rPr>
          <w:sz w:val="22"/>
          <w:szCs w:val="22"/>
        </w:rPr>
        <w:t xml:space="preserve">b) Deber de conservar. Todos los propietarios de inmuebles deberán</w:t>
      </w:r>
    </w:p>
    <w:p>
      <w:pPr>
        <w:spacing w:after="120"/>
        <w:jc w:val="both"/>
      </w:pPr>
      <w:r>
        <w:rPr>
          <w:sz w:val="22"/>
          <w:szCs w:val="22"/>
        </w:rPr>
        <w:t xml:space="preserve">mantenerlos en condiciones de seguridad, salubridad y ornato público,</w:t>
      </w:r>
    </w:p>
    <w:p>
      <w:pPr>
        <w:spacing w:after="120"/>
        <w:jc w:val="both"/>
      </w:pPr>
      <w:r>
        <w:rPr>
          <w:sz w:val="22"/>
          <w:szCs w:val="22"/>
        </w:rPr>
        <w:t xml:space="preserve">realizando las obras de conservación oportunas y cumpliendo las</w:t>
      </w:r>
    </w:p>
    <w:p>
      <w:pPr>
        <w:spacing w:after="120"/>
        <w:jc w:val="both"/>
      </w:pPr>
      <w:r>
        <w:rPr>
          <w:sz w:val="22"/>
          <w:szCs w:val="22"/>
        </w:rPr>
        <w:t xml:space="preserve">disposiciones que a tal efecto dictamine el Gobierno Departamental</w:t>
      </w:r>
    </w:p>
    <w:p>
      <w:pPr>
        <w:spacing w:after="120"/>
        <w:jc w:val="both"/>
      </w:pPr>
      <w:r>
        <w:rPr>
          <w:sz w:val="22"/>
          <w:szCs w:val="22"/>
        </w:rPr>
        <w:t xml:space="preserve">competente.</w:t>
      </w:r>
    </w:p>
    <w:p>
      <w:pPr>
        <w:spacing w:after="120"/>
        <w:ind w:left="567"/>
        <w:jc w:val="both"/>
      </w:pPr>
      <w:r>
        <w:rPr>
          <w:sz w:val="22"/>
          <w:szCs w:val="22"/>
        </w:rPr>
        <w:t xml:space="preserve">c) Deber de proteger el medio ambiente y la diversidad. Todos los</w:t>
      </w:r>
    </w:p>
    <w:p>
      <w:pPr>
        <w:spacing w:after="120"/>
        <w:jc w:val="both"/>
      </w:pPr>
      <w:r>
        <w:rPr>
          <w:sz w:val="22"/>
          <w:szCs w:val="22"/>
        </w:rPr>
        <w:t xml:space="preserve">propietarios quedarán sujetos a las normas sobre protección del</w:t>
      </w:r>
    </w:p>
    <w:p>
      <w:pPr>
        <w:spacing w:after="120"/>
        <w:jc w:val="both"/>
      </w:pPr>
      <w:r>
        <w:rPr>
          <w:sz w:val="22"/>
          <w:szCs w:val="22"/>
        </w:rPr>
        <w:t xml:space="preserve">ambiente, los recursos naturales y el patrimonio natural, absteniéndose</w:t>
      </w:r>
    </w:p>
    <w:p>
      <w:pPr>
        <w:spacing w:after="120"/>
        <w:jc w:val="both"/>
      </w:pPr>
      <w:r>
        <w:rPr>
          <w:sz w:val="22"/>
          <w:szCs w:val="22"/>
        </w:rPr>
        <w:t xml:space="preserve">de cualquier actividad perjudicial para los mismos. Se comprende el</w:t>
      </w:r>
    </w:p>
    <w:p>
      <w:pPr>
        <w:spacing w:after="120"/>
        <w:jc w:val="both"/>
      </w:pPr>
      <w:r>
        <w:rPr>
          <w:sz w:val="22"/>
          <w:szCs w:val="22"/>
        </w:rPr>
        <w:t xml:space="preserve">deber de resguardar el inmueble frente al uso productivo de riesgo o la</w:t>
      </w:r>
    </w:p>
    <w:p>
      <w:pPr>
        <w:spacing w:after="120"/>
        <w:jc w:val="both"/>
      </w:pPr>
      <w:r>
        <w:rPr>
          <w:sz w:val="22"/>
          <w:szCs w:val="22"/>
        </w:rPr>
        <w:t xml:space="preserve">ocupación de suelo con fines habitacionales en zonas de riesgo.</w:t>
      </w:r>
    </w:p>
    <w:p>
      <w:pPr>
        <w:spacing w:after="120"/>
        <w:ind w:left="567"/>
        <w:jc w:val="both"/>
      </w:pPr>
      <w:r>
        <w:rPr>
          <w:sz w:val="22"/>
          <w:szCs w:val="22"/>
        </w:rPr>
        <w:t xml:space="preserve">d) Deber de proteger el patrimonio cultural. Todos los propietarios</w:t>
      </w:r>
    </w:p>
    <w:p>
      <w:pPr>
        <w:spacing w:after="120"/>
        <w:jc w:val="both"/>
      </w:pPr>
      <w:r>
        <w:rPr>
          <w:sz w:val="22"/>
          <w:szCs w:val="22"/>
        </w:rPr>
        <w:t xml:space="preserve">deberán cumplir las normas de protección del patrimonio cultural,</w:t>
      </w:r>
    </w:p>
    <w:p>
      <w:pPr>
        <w:spacing w:after="120"/>
        <w:jc w:val="both"/>
      </w:pPr>
      <w:r>
        <w:rPr>
          <w:sz w:val="22"/>
          <w:szCs w:val="22"/>
        </w:rPr>
        <w:t xml:space="preserve">histórico, arqueológico, arquitectónico, artístico y paisajístico.</w:t>
      </w:r>
    </w:p>
    <w:p>
      <w:pPr>
        <w:spacing w:after="120"/>
        <w:ind w:left="567"/>
        <w:jc w:val="both"/>
      </w:pPr>
      <w:r>
        <w:rPr>
          <w:sz w:val="22"/>
          <w:szCs w:val="22"/>
        </w:rPr>
        <w:t xml:space="preserve">e) Deber de cuidar. Los propietarios de inmuebles deberán vigilarlos y</w:t>
      </w:r>
    </w:p>
    <w:p>
      <w:pPr>
        <w:spacing w:after="120"/>
        <w:jc w:val="both"/>
      </w:pPr>
      <w:r>
        <w:rPr>
          <w:sz w:val="22"/>
          <w:szCs w:val="22"/>
        </w:rPr>
        <w:t xml:space="preserve">protegerlos frente a intrusiones de terceros, haciéndose responsables</w:t>
      </w:r>
    </w:p>
    <w:p>
      <w:pPr>
        <w:spacing w:after="120"/>
        <w:jc w:val="both"/>
      </w:pPr>
      <w:r>
        <w:rPr>
          <w:sz w:val="22"/>
          <w:szCs w:val="22"/>
        </w:rPr>
        <w:t xml:space="preserve">en caso de negligencia de las acciones que éstos puedan ejercer en</w:t>
      </w:r>
    </w:p>
    <w:p>
      <w:pPr>
        <w:spacing w:after="120"/>
        <w:jc w:val="both"/>
      </w:pPr>
      <w:r>
        <w:rPr>
          <w:sz w:val="22"/>
          <w:szCs w:val="22"/>
        </w:rPr>
        <w:t xml:space="preserve">contravención a lo dispuesto por los instrumentos de ordenamiento</w:t>
      </w:r>
    </w:p>
    <w:p>
      <w:pPr>
        <w:spacing w:after="120"/>
        <w:jc w:val="both"/>
      </w:pPr>
      <w:r>
        <w:rPr>
          <w:sz w:val="22"/>
          <w:szCs w:val="22"/>
        </w:rPr>
        <w:t xml:space="preserve">territorial o en menoscabo de los deberes territoriales.</w:t>
      </w:r>
    </w:p>
    <w:p>
      <w:pPr>
        <w:spacing w:after="120"/>
        <w:ind w:left="567"/>
        <w:jc w:val="both"/>
      </w:pPr>
      <w:r>
        <w:rPr>
          <w:sz w:val="22"/>
          <w:szCs w:val="22"/>
        </w:rPr>
        <w:t xml:space="preserve">f) Deber de rehabilitar y restituir. Los propietarios de inmuebles</w:t>
      </w:r>
    </w:p>
    <w:p>
      <w:pPr>
        <w:spacing w:after="120"/>
        <w:jc w:val="both"/>
      </w:pPr>
      <w:r>
        <w:rPr>
          <w:sz w:val="22"/>
          <w:szCs w:val="22"/>
        </w:rPr>
        <w:t xml:space="preserve">quedarán sujetos al cumplimiento de las normas de rehabilitación</w:t>
      </w:r>
    </w:p>
    <w:p>
      <w:pPr>
        <w:spacing w:after="120"/>
        <w:jc w:val="both"/>
      </w:pPr>
      <w:r>
        <w:rPr>
          <w:sz w:val="22"/>
          <w:szCs w:val="22"/>
        </w:rPr>
        <w:t xml:space="preserve">patrimonial o de restitución ambiental.</w:t>
      </w:r>
    </w:p>
    <w:p>
      <w:pPr>
        <w:spacing w:after="120"/>
        <w:jc w:val="both"/>
      </w:pPr>
      <w:r>
        <w:rPr>
          <w:sz w:val="22"/>
          <w:szCs w:val="22"/>
        </w:rPr>
        <w:t xml:space="preserve">Serán exigibles además los deberes territoriales particulares vinculados a la ejecución de perímetros de actuación según las categorías de suelo establecidas en el Capítulo III del presente Título.</w:t>
      </w:r>
    </w:p>
    <w:p>
      <w:pPr>
        <w:pStyle w:val="Heading3"/>
      </w:pPr>
      <w:r>
        <w:t xml:space="preserve">CAPÍTULO III - FACULTADES Y OBLIGACIONES TERRITORIALES</w:t>
      </w:r>
    </w:p>
    <w:p>
      <w:pPr>
        <w:pStyle w:val="Articulo"/>
        <w:keepNext/>
        <w:spacing w:after="120" w:before="280"/>
      </w:pPr>
      <w:r>
        <w:rPr>
          <w:rFonts w:ascii="Arial" w:cs="Arial" w:eastAsia="Arial" w:hAnsi="Arial"/>
          <w:b/>
          <w:bCs/>
          <w:color w:val="14213D"/>
          <w:sz w:val="22"/>
          <w:szCs w:val="22"/>
        </w:rPr>
        <w:t xml:space="preserve">Artículo 38</w:t>
      </w:r>
      <w:r>
        <w:rPr>
          <w:rFonts w:ascii="Arial" w:cs="Arial" w:eastAsia="Arial" w:hAnsi="Arial"/>
          <w:color w:val="555555"/>
          <w:sz w:val="22"/>
          <w:szCs w:val="22"/>
        </w:rPr>
        <w:t xml:space="preserve"> · Condiciones generales de los instrumentos. Límites y estándares mínimos</w:t>
      </w:r>
    </w:p>
    <w:p>
      <w:pPr>
        <w:spacing w:after="120"/>
        <w:jc w:val="both"/>
      </w:pPr>
      <w:r>
        <w:rPr>
          <w:sz w:val="22"/>
          <w:szCs w:val="22"/>
        </w:rPr>
        <w:t xml:space="preserve">(Condiciones generales de los instrumentos. Límites y estándares mínimos).- Los instrumentos de ordenamiento territorial y desarrollo sostenible en las áreas delimitadas de suelo urbano, suelo suburbano o suelo con el atributo de potencialmente transformable, preverán las reservas de espacios libres y equipamiento, así como limites de densidad y edificabilidad.</w:t>
      </w:r>
    </w:p>
    <w:p>
      <w:pPr>
        <w:spacing w:after="120"/>
        <w:jc w:val="both"/>
      </w:pPr>
      <w:r>
        <w:rPr>
          <w:sz w:val="22"/>
          <w:szCs w:val="22"/>
        </w:rPr>
        <w:t xml:space="preserve">Con carácter general, en las actuaciones residenciales, industriales, de servicios, turísticas, deportivas, de recreación u otras, las reservas para espacios libres, equipamientos, cartera de tierras y otros destinos de interés municipal, departamental o nacional, sin perjuicio del área destinada a circulaciones, no podrán ser inferiores al 10% (diez por ciento) del sector a intervenir.</w:t>
      </w:r>
    </w:p>
    <w:p>
      <w:pPr>
        <w:spacing w:after="120"/>
        <w:jc w:val="both"/>
      </w:pPr>
      <w:r>
        <w:rPr>
          <w:sz w:val="22"/>
          <w:szCs w:val="22"/>
        </w:rPr>
        <w:t xml:space="preserve">El Gobierno Departamental, atendiendo a las características socioeconómicas de su ámbito jurisdiccional o la dotación de áreas para circulaciones públicas del proyecto, podrá disminuir el citado estándar hasta el 8% (ocho por ciento).</w:t>
      </w:r>
    </w:p>
    <w:p>
      <w:pPr>
        <w:spacing w:after="120"/>
        <w:jc w:val="both"/>
      </w:pPr>
      <w:r>
        <w:rPr>
          <w:sz w:val="22"/>
          <w:szCs w:val="22"/>
        </w:rPr>
        <w:t xml:space="preserve">Los terrenos antes referidos deberán ser cedidos de pleno derecho a la Intendencia Municipal o a la entidad pública que ésta determine, como condición inherente a la actividad de ejecución territorial.</w:t>
      </w:r>
    </w:p>
    <w:p>
      <w:pPr>
        <w:spacing w:after="120"/>
        <w:jc w:val="both"/>
      </w:pPr>
      <w:r>
        <w:rPr>
          <w:sz w:val="22"/>
          <w:szCs w:val="22"/>
        </w:rPr>
        <w:t xml:space="preserve">Excepcionalmente, por razones debidamente fundadas y siempre que se encuentren asegurados los equipamientos y espacios libres necesarios en el sector, se podrá sustituir por cesión de tierra en otro lugar diferente al del sector a intervenir.(*)</w:t>
      </w:r>
    </w:p>
    <w:p>
      <w:pPr>
        <w:spacing w:after="120"/>
        <w:jc w:val="both"/>
      </w:pPr>
      <w:r>
        <w:rPr>
          <w:sz w:val="22"/>
          <w:szCs w:val="22"/>
        </w:rPr>
        <w:t xml:space="preserve">En todos los casos los instrumentos de ordenamiento territorial exigirán que las nuevas urbanizaciones y fraccionamientos antes de su autorización definitiva ejecuten a su costo, la red vial y la conexión a la red vial general para la continuidad de la trama existente, además de las infraestructuras indicadas en el literal a) del artículo 32 de la presente ley.</w:t>
      </w:r>
    </w:p>
    <w:p>
      <w:pPr>
        <w:spacing w:after="120"/>
        <w:jc w:val="both"/>
      </w:pPr>
      <w:r>
        <w:rPr>
          <w:sz w:val="22"/>
          <w:szCs w:val="22"/>
        </w:rPr>
        <w:t xml:space="preserve">En caso contrario deberán otorgar garantía real o personal suficiente a favor del Gobierno Departamental por el valor de dichas infraestructuras.</w:t>
      </w:r>
    </w:p>
    <w:p>
      <w:pPr>
        <w:spacing w:after="120"/>
        <w:jc w:val="both"/>
      </w:pPr>
      <w:r>
        <w:rPr>
          <w:sz w:val="22"/>
          <w:szCs w:val="22"/>
        </w:rPr>
        <w:t xml:space="preserve">La evacuación de aguas servidas deberá estar conectada a la red urbana preexistente en el sector o realizada a través de un sistema técnicamente avalado por el Ministerio de Vivienda, Ordenamiento Territorial y Medio Ambiente (MVOTMA) y aprobado por la Intendencia Municipal para cada caso.</w:t>
      </w:r>
    </w:p>
    <w:p>
      <w:pPr>
        <w:spacing w:after="120"/>
        <w:jc w:val="both"/>
      </w:pPr>
      <w:r>
        <w:rPr>
          <w:sz w:val="22"/>
          <w:szCs w:val="22"/>
        </w:rPr>
        <w:t xml:space="preserve">Este artículo se aplicará tanto a fraccionamientos comunes como a urbanizaciones en régimen de Urbanización en Propiedad Horizontal (UPH) y Propiedad Horizontal (PH). En el régimen de propiedad horizontal, se consideran urbanizaciones todos los fraccionamientos comprendidos en el régimen de la Ley N° 17.292, de 25 de enero de 2001, así como aquellos realizados bajo el amparo de la Ley N° 10.751, de 25 de junio de 1946, en este último caso, cuando el tamaño del amanzanado sea mayor a lo previsto en la normativa departamental aplicable o cuando el tamaño de la propuesta exceda las dimensiones máximas de una manzana.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5º) ver vigencia: Ley Nº 19.670 de 15/10/2018 artículo </w:t>
      </w:r>
      <w:hyperlink w:history="1" r:id="rIdcdwxxiaecvv65adprjezq">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Inciso 9º) ver vigencia: Ley Nº 20.446 de 16/12/2025 artículo </w:t>
      </w:r>
      <w:hyperlink w:history="1" r:id="rIdkkh9yph2fpt0dqqmrhge9">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Inciso 5º) agregado/s por: Ley Nº 19.670 de 15/10/2018 artículo </w:t>
      </w:r>
      <w:hyperlink w:history="1" r:id="rId5k5ns9w8telmgo2xnhkq6">
        <w:r>
          <w:rPr>
            <w:rStyle w:val="Hyperlink"/>
            <w:rFonts w:ascii="Arial" w:cs="Arial" w:eastAsia="Arial" w:hAnsi="Arial"/>
            <w:sz w:val="17"/>
            <w:szCs w:val="17"/>
          </w:rPr>
          <w:t xml:space="preserve">209</w:t>
        </w:r>
      </w:hyperlink>
      <w:r>
        <w:rPr>
          <w:rFonts w:ascii="Arial" w:cs="Arial" w:eastAsia="Arial" w:hAnsi="Arial"/>
          <w:color w:val="555555"/>
          <w:sz w:val="17"/>
          <w:szCs w:val="17"/>
        </w:rPr>
        <w:t xml:space="preserve">.
Inciso 9º) agregado/s por: Ley Nº 20.446 de 16/12/2025 artículo </w:t>
      </w:r>
      <w:hyperlink w:history="1" r:id="rIdzyar7rcm-6pws7qd-c33a">
        <w:r>
          <w:rPr>
            <w:rStyle w:val="Hyperlink"/>
            <w:rFonts w:ascii="Arial" w:cs="Arial" w:eastAsia="Arial" w:hAnsi="Arial"/>
            <w:sz w:val="17"/>
            <w:szCs w:val="17"/>
          </w:rPr>
          <w:t xml:space="preserve">419</w:t>
        </w:r>
      </w:hyperlink>
      <w:r>
        <w:rPr>
          <w:rFonts w:ascii="Arial" w:cs="Arial" w:eastAsia="Arial" w:hAnsi="Arial"/>
          <w:color w:val="555555"/>
          <w:sz w:val="17"/>
          <w:szCs w:val="17"/>
        </w:rPr>
        <w:t xml:space="preserve">.
Ver en esta norma, artículo: </w:t>
      </w:r>
      <w:hyperlink w:history="1" r:id="rId8ybfchb43med4gvwe0xlv">
        <w:r>
          <w:rPr>
            <w:rStyle w:val="Hyperlink"/>
            <w:rFonts w:ascii="Arial" w:cs="Arial" w:eastAsia="Arial" w:hAnsi="Arial"/>
            <w:sz w:val="17"/>
            <w:szCs w:val="17"/>
          </w:rPr>
          <w:t xml:space="preserve">43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39</w:t>
      </w:r>
      <w:r>
        <w:rPr>
          <w:rFonts w:ascii="Arial" w:cs="Arial" w:eastAsia="Arial" w:hAnsi="Arial"/>
          <w:color w:val="555555"/>
          <w:sz w:val="22"/>
          <w:szCs w:val="22"/>
        </w:rPr>
        <w:t xml:space="preserve"> · Régimen del suelo rural</w:t>
      </w:r>
    </w:p>
    <w:p>
      <w:pPr>
        <w:spacing w:after="120"/>
        <w:jc w:val="both"/>
      </w:pPr>
      <w:r>
        <w:rPr>
          <w:sz w:val="22"/>
          <w:szCs w:val="22"/>
        </w:rPr>
        <w:t xml:space="preserve">(Régimen del suelo rural).- Los propietarios de terrenos categorizados como suelo rural tienen derecho a la realización de los actos precisos para la utilización y explotación agrícola, forestal, en general productiva rural o minera y extractiva, a las que estén efectivamente destinados, conforme a su naturaleza, sin más limitaciones que las impuestas por la legislación aplicable.</w:t>
      </w:r>
    </w:p>
    <w:p>
      <w:pPr>
        <w:spacing w:after="120"/>
        <w:jc w:val="both"/>
      </w:pPr>
      <w:r>
        <w:rPr>
          <w:sz w:val="22"/>
          <w:szCs w:val="22"/>
        </w:rPr>
        <w:t xml:space="preserve">Otros usos en el suelo categoría rural productiva, que pudieran ser admisibles por no implicar riesgos de su transformación, precisarán de la oportuna autorización de la Intendencia Municipal, si así lo dispusieran los instrumentos de ordenamiento territorial que se aprueben.</w:t>
      </w:r>
    </w:p>
    <w:p>
      <w:pPr>
        <w:spacing w:after="120"/>
        <w:jc w:val="both"/>
      </w:pPr>
      <w:r>
        <w:rPr>
          <w:sz w:val="22"/>
          <w:szCs w:val="22"/>
        </w:rPr>
        <w:t xml:space="preserve">No requerirán la correspondiente autorización para edificar en suelo categoría rural productiva, la vivienda del productor rural y del personal del establecimiento y aquellas edificaciones directamente referidas a la actividad rural, salvo que un instrumento de ordenamiento territorial así lo exija.</w:t>
      </w:r>
    </w:p>
    <w:p>
      <w:pPr>
        <w:spacing w:after="120"/>
        <w:jc w:val="both"/>
      </w:pPr>
      <w:r>
        <w:rPr>
          <w:sz w:val="22"/>
          <w:szCs w:val="22"/>
        </w:rPr>
        <w:t xml:space="preserve">En el suelo rural quedan prohibidas las edificaciones que puedan generar necesidades de infraestructuras y servicios urbanos, representen el asentamiento de actividades propias del medio urbano en detrimento de las propias del medio rural o hagan perder el carácter rural o natural al paisaje.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Ley Nº 18.719 de 27/12/2010 artículo </w:t>
      </w:r>
      <w:hyperlink w:history="1" r:id="rIdgpcva06mf1jglrmclwbrs">
        <w:r>
          <w:rPr>
            <w:rStyle w:val="Hyperlink"/>
            <w:rFonts w:ascii="Arial" w:cs="Arial" w:eastAsia="Arial" w:hAnsi="Arial"/>
            <w:sz w:val="17"/>
            <w:szCs w:val="17"/>
          </w:rPr>
          <w:t xml:space="preserve">610</w:t>
        </w:r>
      </w:hyperlink>
      <w:r>
        <w:rPr>
          <w:rFonts w:ascii="Arial" w:cs="Arial" w:eastAsia="Arial" w:hAnsi="Arial"/>
          <w:color w:val="555555"/>
          <w:sz w:val="17"/>
          <w:szCs w:val="17"/>
        </w:rPr>
        <w:t xml:space="preserve"> (interpretativo).</w:t>
      </w:r>
    </w:p>
    <w:p>
      <w:pPr>
        <w:pStyle w:val="Articulo"/>
        <w:keepNext/>
        <w:spacing w:after="120" w:before="280"/>
      </w:pPr>
      <w:r>
        <w:rPr>
          <w:rFonts w:ascii="Arial" w:cs="Arial" w:eastAsia="Arial" w:hAnsi="Arial"/>
          <w:b/>
          <w:bCs/>
          <w:color w:val="14213D"/>
          <w:sz w:val="22"/>
          <w:szCs w:val="22"/>
        </w:rPr>
        <w:t xml:space="preserve">Artículo 40</w:t>
      </w:r>
      <w:r>
        <w:rPr>
          <w:rFonts w:ascii="Arial" w:cs="Arial" w:eastAsia="Arial" w:hAnsi="Arial"/>
          <w:color w:val="555555"/>
          <w:sz w:val="22"/>
          <w:szCs w:val="22"/>
        </w:rPr>
        <w:t xml:space="preserve"> · Régimen del suelo urbano consolidado</w:t>
      </w:r>
    </w:p>
    <w:p>
      <w:pPr>
        <w:spacing w:after="120"/>
        <w:jc w:val="both"/>
      </w:pPr>
      <w:r>
        <w:rPr>
          <w:sz w:val="22"/>
          <w:szCs w:val="22"/>
        </w:rPr>
        <w:t xml:space="preserve">(Régimen del suelo urbano consolidado).- Los propietarios de parcelas en suelo urbano consolidado tendrán derecho a edificar y usar, conforme a las determinaciones establecidas en los instrumentos de ordenamiento territorial y estarán obligados a ejecutar, a su costo, las obras de conexión de la parcela a las infraestructuras existentes a fin de garantizar la condición de solar de la misma.</w:t>
      </w:r>
    </w:p>
    <w:p>
      <w:pPr>
        <w:spacing w:after="120"/>
        <w:jc w:val="both"/>
      </w:pPr>
      <w:r>
        <w:rPr>
          <w:sz w:val="22"/>
          <w:szCs w:val="22"/>
        </w:rPr>
        <w:t xml:space="preserve">En aquellos ámbitos señalados en los instrumentos de ordenamiento territorial y en los casos que determine la Intendencia Municipal, los propietarios de los solares baldíos o terrenos con edificación ruinosa, deberán edificarlos o rehabilitar sus construcciones, en el plazo máximo que establezcan los mismos.</w:t>
      </w:r>
    </w:p>
    <w:p>
      <w:pPr>
        <w:pStyle w:val="Articulo"/>
        <w:keepNext/>
        <w:spacing w:after="120" w:before="280"/>
      </w:pPr>
      <w:r>
        <w:rPr>
          <w:rFonts w:ascii="Arial" w:cs="Arial" w:eastAsia="Arial" w:hAnsi="Arial"/>
          <w:b/>
          <w:bCs/>
          <w:color w:val="14213D"/>
          <w:sz w:val="22"/>
          <w:szCs w:val="22"/>
        </w:rPr>
        <w:t xml:space="preserve">Artículo 41</w:t>
      </w:r>
    </w:p>
    <w:p>
      <w:pPr>
        <w:spacing w:after="120"/>
        <w:jc w:val="both"/>
      </w:pPr>
      <w:r>
        <w:rPr>
          <w:sz w:val="22"/>
          <w:szCs w:val="22"/>
        </w:rPr>
        <w:t xml:space="preserve">(Facultades de la propiedad inmueble en suelo urbano no consolidado y suelo cuya categoría se transforma).- Los propietarios de inmuebles en suelo urbano no consolidado, así como en suelo con el atributo de potencialmente transformable o en suelo a transformar, una vez incluido en un programa de actuación integrada, tendrán las siguientes facultades:</w:t>
      </w:r>
    </w:p>
    <w:p>
      <w:pPr>
        <w:spacing w:after="120"/>
        <w:ind w:left="567"/>
        <w:jc w:val="both"/>
      </w:pPr>
      <w:r>
        <w:rPr>
          <w:sz w:val="22"/>
          <w:szCs w:val="22"/>
        </w:rPr>
        <w:t xml:space="preserve">a) Promover su ejecución y transformación en las condiciones y</w:t>
      </w:r>
    </w:p>
    <w:p>
      <w:pPr>
        <w:spacing w:after="120"/>
        <w:jc w:val="both"/>
      </w:pPr>
      <w:r>
        <w:rPr>
          <w:sz w:val="22"/>
          <w:szCs w:val="22"/>
        </w:rPr>
        <w:t xml:space="preserve">requerimientos que se establecen en la presente ley.</w:t>
      </w:r>
    </w:p>
    <w:p>
      <w:pPr>
        <w:spacing w:after="120"/>
        <w:ind w:left="567"/>
        <w:jc w:val="both"/>
      </w:pPr>
      <w:r>
        <w:rPr>
          <w:sz w:val="22"/>
          <w:szCs w:val="22"/>
        </w:rPr>
        <w:t xml:space="preserve">b) Adjudicación de parcelas resultantes de acuerdo con el proyecto de</w:t>
      </w:r>
    </w:p>
    <w:p>
      <w:pPr>
        <w:spacing w:after="120"/>
        <w:jc w:val="both"/>
      </w:pPr>
      <w:r>
        <w:rPr>
          <w:sz w:val="22"/>
          <w:szCs w:val="22"/>
        </w:rPr>
        <w:t xml:space="preserve">fraccionamiento o urbanización, en proporción a sus aportaciones al</w:t>
      </w:r>
    </w:p>
    <w:p>
      <w:pPr>
        <w:spacing w:after="120"/>
        <w:jc w:val="both"/>
      </w:pPr>
      <w:r>
        <w:rPr>
          <w:sz w:val="22"/>
          <w:szCs w:val="22"/>
        </w:rPr>
        <w:t xml:space="preserve">proceso de ejecución.</w:t>
      </w:r>
    </w:p>
    <w:p>
      <w:pPr>
        <w:spacing w:after="120"/>
        <w:ind w:left="567"/>
        <w:jc w:val="both"/>
      </w:pPr>
      <w:r>
        <w:rPr>
          <w:sz w:val="22"/>
          <w:szCs w:val="22"/>
        </w:rPr>
        <w:t xml:space="preserve">c) Edificar en dichas parcelas, conforme a las determinaciones del</w:t>
      </w:r>
    </w:p>
    <w:p>
      <w:pPr>
        <w:spacing w:after="120"/>
        <w:jc w:val="both"/>
      </w:pPr>
      <w:r>
        <w:rPr>
          <w:sz w:val="22"/>
          <w:szCs w:val="22"/>
        </w:rPr>
        <w:t xml:space="preserve">instrumento y una vez cumplidos los deberes territoriales. (*)</w:t>
      </w:r>
    </w:p>
    <w:p>
      <w:pPr>
        <w:spacing w:after="120"/>
        <w:jc w:val="both"/>
      </w:pPr>
      <w:r>
        <w:rPr>
          <w:sz w:val="22"/>
          <w:szCs w:val="22"/>
        </w:rPr>
        <w:t xml:space="preserve">Los propietarios que renuncien voluntariamente o sean excluidos del proceso de ejecución por aplicarse la expropiación, tendrán derecho a la indemnización legalmente prevista, sin incorporar a la valoración de ésta los beneficios que se derivan del proceso de ejecución.</w:t>
      </w:r>
    </w:p>
    <w:p>
      <w:pPr>
        <w:spacing w:after="120"/>
        <w:jc w:val="both"/>
      </w:pPr>
      <w:r>
        <w:rPr>
          <w:sz w:val="22"/>
          <w:szCs w:val="22"/>
        </w:rPr>
        <w:t xml:space="preserve">Los propietarios de inmuebles en suelo con el atributo de potencialmente transformable, no incluido en un Programa de Actuación Integrada tendrán derecho a presentar consultas e iniciativas a la Intendencia Municipal para acceder a la efectiva incorporación de los mismos al proceso de transformación territorial.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1º) redacción dada por: Ley Nº 20.212 de 06/11/2023 artículo </w:t>
      </w:r>
      <w:hyperlink w:history="1" r:id="rIdfopodn6me0vql9kcwr9nw">
        <w:r>
          <w:rPr>
            <w:rStyle w:val="Hyperlink"/>
            <w:rFonts w:ascii="Arial" w:cs="Arial" w:eastAsia="Arial" w:hAnsi="Arial"/>
            <w:sz w:val="17"/>
            <w:szCs w:val="17"/>
          </w:rPr>
          <w:t xml:space="preserve">383</w:t>
        </w:r>
      </w:hyperlink>
      <w:r>
        <w:rPr>
          <w:rFonts w:ascii="Arial" w:cs="Arial" w:eastAsia="Arial" w:hAnsi="Arial"/>
          <w:color w:val="555555"/>
          <w:sz w:val="17"/>
          <w:szCs w:val="17"/>
        </w:rPr>
        <w:t xml:space="preserve">.
Inciso 1º) ver vigencia: Ley Nº 20.212 de 06/11/2023 artículo </w:t>
      </w:r>
      <w:hyperlink w:history="1" r:id="rId1xk_hv9msbd0ssqa7isd1">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18.308 de 18/06/2008 artículo </w:t>
      </w:r>
      <w:hyperlink w:history="1" r:id="rIdeu_x8dlbed3_ar3cizlrj">
        <w:r>
          <w:rPr>
            <w:rStyle w:val="Hyperlink"/>
            <w:rFonts w:ascii="Arial" w:cs="Arial" w:eastAsia="Arial" w:hAnsi="Arial"/>
            <w:sz w:val="17"/>
            <w:szCs w:val="17"/>
          </w:rPr>
          <w:t xml:space="preserve">41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42</w:t>
      </w:r>
    </w:p>
    <w:p>
      <w:pPr>
        <w:spacing w:after="120"/>
        <w:jc w:val="both"/>
      </w:pPr>
      <w:r>
        <w:rPr>
          <w:sz w:val="22"/>
          <w:szCs w:val="22"/>
        </w:rPr>
        <w:t xml:space="preserve">(Obligaciones de la propiedad inmueble en suelo urbano no consolidado y suelo cuya categoría se transforma).- Los propietarios de inmuebles en suelo urbano no consolidado, así como en suelo con el atributo de potencialmente transformable o en suelo a transformar, una vez incluido en un programa de actuación integrada, tendrán las siguientes obligaciones:</w:t>
      </w:r>
    </w:p>
    <w:p>
      <w:pPr>
        <w:spacing w:after="120"/>
        <w:ind w:left="567"/>
        <w:jc w:val="both"/>
      </w:pPr>
      <w:r>
        <w:rPr>
          <w:sz w:val="22"/>
          <w:szCs w:val="22"/>
        </w:rPr>
        <w:t xml:space="preserve">a) Ejecutar a su costo las obras de urbanización del ámbito.</w:t>
      </w:r>
    </w:p>
    <w:p>
      <w:pPr>
        <w:spacing w:after="120"/>
        <w:ind w:left="567"/>
        <w:jc w:val="both"/>
      </w:pPr>
      <w:r>
        <w:rPr>
          <w:sz w:val="22"/>
          <w:szCs w:val="22"/>
        </w:rPr>
        <w:t xml:space="preserve">b) Ceder a la Intendencia o a la entidad pública que esta determine, de</w:t>
      </w:r>
    </w:p>
    <w:p>
      <w:pPr>
        <w:spacing w:after="120"/>
        <w:jc w:val="both"/>
      </w:pPr>
      <w:r>
        <w:rPr>
          <w:sz w:val="22"/>
          <w:szCs w:val="22"/>
        </w:rPr>
        <w:t xml:space="preserve">forma gratuita, los terrenos del ámbito que los instrumentos de</w:t>
      </w:r>
    </w:p>
    <w:p>
      <w:pPr>
        <w:spacing w:after="120"/>
        <w:jc w:val="both"/>
      </w:pPr>
      <w:r>
        <w:rPr>
          <w:sz w:val="22"/>
          <w:szCs w:val="22"/>
        </w:rPr>
        <w:t xml:space="preserve">ordenamiento territorial prevean con destino a uso y dominio público.</w:t>
      </w:r>
    </w:p>
    <w:p>
      <w:pPr>
        <w:spacing w:after="120"/>
        <w:ind w:left="567"/>
        <w:jc w:val="both"/>
      </w:pPr>
      <w:r>
        <w:rPr>
          <w:sz w:val="22"/>
          <w:szCs w:val="22"/>
        </w:rPr>
        <w:t xml:space="preserve">c) Ceder a la Intendencia los terrenos urbanizados edificables o</w:t>
      </w:r>
    </w:p>
    <w:p>
      <w:pPr>
        <w:spacing w:after="120"/>
        <w:jc w:val="both"/>
      </w:pPr>
      <w:r>
        <w:rPr>
          <w:sz w:val="22"/>
          <w:szCs w:val="22"/>
        </w:rPr>
        <w:t xml:space="preserve">inmuebles en los que se concrete el derecho a la participación de esta</w:t>
      </w:r>
    </w:p>
    <w:p>
      <w:pPr>
        <w:spacing w:after="120"/>
        <w:jc w:val="both"/>
      </w:pPr>
      <w:r>
        <w:rPr>
          <w:sz w:val="22"/>
          <w:szCs w:val="22"/>
        </w:rPr>
        <w:t xml:space="preserve">en la distribución de los mayores beneficios.</w:t>
      </w:r>
    </w:p>
    <w:p>
      <w:pPr>
        <w:spacing w:after="120"/>
        <w:ind w:left="567"/>
        <w:jc w:val="both"/>
      </w:pPr>
      <w:r>
        <w:rPr>
          <w:sz w:val="22"/>
          <w:szCs w:val="22"/>
        </w:rPr>
        <w:t xml:space="preserve">d) Distribuir de forma equitativa o de compensar, entre todos los</w:t>
      </w:r>
    </w:p>
    <w:p>
      <w:pPr>
        <w:spacing w:after="120"/>
        <w:jc w:val="both"/>
      </w:pPr>
      <w:r>
        <w:rPr>
          <w:sz w:val="22"/>
          <w:szCs w:val="22"/>
        </w:rPr>
        <w:t xml:space="preserve">interesados del ámbito, los beneficios y cargas que se deriven de la</w:t>
      </w:r>
    </w:p>
    <w:p>
      <w:pPr>
        <w:spacing w:after="120"/>
        <w:jc w:val="both"/>
      </w:pPr>
      <w:r>
        <w:rPr>
          <w:sz w:val="22"/>
          <w:szCs w:val="22"/>
        </w:rPr>
        <w:t xml:space="preserve">ejecución del instrumento de ordenamiento territorial.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20.212 de 06/11/2023 artículo </w:t>
      </w:r>
      <w:hyperlink w:history="1" r:id="rIdqqydms65tyaf7-fxezi6m">
        <w:r>
          <w:rPr>
            <w:rStyle w:val="Hyperlink"/>
            <w:rFonts w:ascii="Arial" w:cs="Arial" w:eastAsia="Arial" w:hAnsi="Arial"/>
            <w:sz w:val="17"/>
            <w:szCs w:val="17"/>
          </w:rPr>
          <w:t xml:space="preserve">384</w:t>
        </w:r>
      </w:hyperlink>
      <w:r>
        <w:rPr>
          <w:rFonts w:ascii="Arial" w:cs="Arial" w:eastAsia="Arial" w:hAnsi="Arial"/>
          <w:color w:val="555555"/>
          <w:sz w:val="17"/>
          <w:szCs w:val="17"/>
        </w:rPr>
        <w:t xml:space="preserve">.
Ver vigencia: Ley Nº 20.212 de 06/11/2023 artículo </w:t>
      </w:r>
      <w:hyperlink w:history="1" r:id="rId3chxpptfgfemh3pbvodfr">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18.308 de 18/06/2008 artículo </w:t>
      </w:r>
      <w:hyperlink w:history="1" r:id="rIdwly0rnq5perpxnk0gawt-">
        <w:r>
          <w:rPr>
            <w:rStyle w:val="Hyperlink"/>
            <w:rFonts w:ascii="Arial" w:cs="Arial" w:eastAsia="Arial" w:hAnsi="Arial"/>
            <w:sz w:val="17"/>
            <w:szCs w:val="17"/>
          </w:rPr>
          <w:t xml:space="preserve">42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43</w:t>
      </w:r>
    </w:p>
    <w:p>
      <w:pPr>
        <w:spacing w:after="120"/>
        <w:jc w:val="both"/>
      </w:pPr>
      <w:r>
        <w:rPr>
          <w:sz w:val="22"/>
          <w:szCs w:val="22"/>
        </w:rPr>
        <w:t xml:space="preserve">(Régimen de los fraccionamientos en suelo urbano, suburbano, suelo con el atributo potencialmente transformable o cuya categoría se transforma).- No podrán autorizarse fraccionamientos en suelo urbano, suburbano, con el atributo de potencialmente transformable o cuya categoría se transforma, siempre que generen superficies de uso público destinadas al tránsito, sin que se haya cumplido con las condiciones determinadas por el artículo 38 de la presente ley, y deberá figurar la constancia de su cumplimiento en el respectivo plano. (*)</w:t>
      </w:r>
    </w:p>
    <w:p>
      <w:pPr>
        <w:spacing w:after="120"/>
        <w:jc w:val="both"/>
      </w:pPr>
      <w:r>
        <w:rPr>
          <w:sz w:val="22"/>
          <w:szCs w:val="22"/>
        </w:rPr>
        <w:t xml:space="preserve">Para las cesiones de solares o inmuebles de los fraccionamientos autorizados con posterioridad a la presente ley, en las que se concreta la cesión prevista en el artículo 38 citado, en el sector a intervenir, así como el derecho a la participación de los mayores valores de la acción territorial de los poderes públicos, además de las áreas destinadas al uso público, la traslación de dominio opera de pleno derecho por su figuración en los respectivos planos.(*)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19.670 de 15/10/2018 artículo </w:t>
      </w:r>
      <w:hyperlink w:history="1" r:id="rIdcbgiiugc_la5zuzmq6ref">
        <w:r>
          <w:rPr>
            <w:rStyle w:val="Hyperlink"/>
            <w:rFonts w:ascii="Arial" w:cs="Arial" w:eastAsia="Arial" w:hAnsi="Arial"/>
            <w:sz w:val="17"/>
            <w:szCs w:val="17"/>
          </w:rPr>
          <w:t xml:space="preserve">210</w:t>
        </w:r>
      </w:hyperlink>
      <w:r>
        <w:rPr>
          <w:rFonts w:ascii="Arial" w:cs="Arial" w:eastAsia="Arial" w:hAnsi="Arial"/>
          <w:color w:val="555555"/>
          <w:sz w:val="17"/>
          <w:szCs w:val="17"/>
        </w:rPr>
        <w:t xml:space="preserve">.
Inciso 1º) redacción dada por: Ley Nº 20.212 de 06/11/2023 artículo </w:t>
      </w:r>
      <w:hyperlink w:history="1" r:id="rIdoceno0n1owgc_k1gy1tiw">
        <w:r>
          <w:rPr>
            <w:rStyle w:val="Hyperlink"/>
            <w:rFonts w:ascii="Arial" w:cs="Arial" w:eastAsia="Arial" w:hAnsi="Arial"/>
            <w:sz w:val="17"/>
            <w:szCs w:val="17"/>
          </w:rPr>
          <w:t xml:space="preserve">385</w:t>
        </w:r>
      </w:hyperlink>
      <w:r>
        <w:rPr>
          <w:rFonts w:ascii="Arial" w:cs="Arial" w:eastAsia="Arial" w:hAnsi="Arial"/>
          <w:color w:val="555555"/>
          <w:sz w:val="17"/>
          <w:szCs w:val="17"/>
        </w:rPr>
        <w:t xml:space="preserve">.
Ver vigencia: Ley Nº 19.670 de 15/10/2018 artículo </w:t>
      </w:r>
      <w:hyperlink w:history="1" r:id="rId7mdei_0hobkv08kppx13k">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Inciso 1º) ver vigencia: Ley Nº 20.212 de 06/11/2023 artículo </w:t>
      </w:r>
      <w:hyperlink w:history="1" r:id="rIdphizgybjqquva1n8wtwtz">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19.670 de 15/10/2018 artículo </w:t>
      </w:r>
      <w:hyperlink w:history="1" r:id="rIdy4h5mchnxqlepoomcewrd">
        <w:r>
          <w:rPr>
            <w:rStyle w:val="Hyperlink"/>
            <w:rFonts w:ascii="Arial" w:cs="Arial" w:eastAsia="Arial" w:hAnsi="Arial"/>
            <w:sz w:val="17"/>
            <w:szCs w:val="17"/>
          </w:rPr>
          <w:t xml:space="preserve">210</w:t>
        </w:r>
      </w:hyperlink>
      <w:r>
        <w:rPr>
          <w:rFonts w:ascii="Arial" w:cs="Arial" w:eastAsia="Arial" w:hAnsi="Arial"/>
          <w:color w:val="555555"/>
          <w:sz w:val="17"/>
          <w:szCs w:val="17"/>
        </w:rPr>
        <w:t xml:space="preserve">,
 Ley Nº 18.308 de 18/06/2008 artículo </w:t>
      </w:r>
      <w:hyperlink w:history="1" r:id="rId5ozbgyi6gf1kye1suq3ap">
        <w:r>
          <w:rPr>
            <w:rStyle w:val="Hyperlink"/>
            <w:rFonts w:ascii="Arial" w:cs="Arial" w:eastAsia="Arial" w:hAnsi="Arial"/>
            <w:sz w:val="17"/>
            <w:szCs w:val="17"/>
          </w:rPr>
          <w:t xml:space="preserve">43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44</w:t>
      </w:r>
      <w:r>
        <w:rPr>
          <w:rFonts w:ascii="Arial" w:cs="Arial" w:eastAsia="Arial" w:hAnsi="Arial"/>
          <w:color w:val="555555"/>
          <w:sz w:val="22"/>
          <w:szCs w:val="22"/>
        </w:rPr>
        <w:t xml:space="preserve"> · Régimen de indemnización</w:t>
      </w:r>
    </w:p>
    <w:p>
      <w:pPr>
        <w:spacing w:after="120"/>
        <w:jc w:val="both"/>
      </w:pPr>
      <w:r>
        <w:rPr>
          <w:sz w:val="22"/>
          <w:szCs w:val="22"/>
        </w:rPr>
        <w:t xml:space="preserve">(Régimen de indemnización).- La adecuación de las facultades del derecho de propiedad a las modalidades de uso y localización de actividades previstas en los instrumentos de ordenamiento territorial, tales como usos del suelo, fraccionabilidad y edificabilidad, no origina por sí sola derecho a indemnización alguna.</w:t>
      </w:r>
    </w:p>
    <w:p>
      <w:pPr>
        <w:spacing w:after="120"/>
        <w:jc w:val="both"/>
      </w:pPr>
      <w:r>
        <w:rPr>
          <w:sz w:val="22"/>
          <w:szCs w:val="22"/>
        </w:rPr>
        <w:t xml:space="preserve">La indemnización procederá únicamente en los casos de expropiación, o de limitaciones que desnaturalicen las facultades del derecho de propiedad, con daño cierto. No son indemnizables las afectaciones basadas en meras expectativas originadas en la ausencia de planes o en la posibilidad de su formulación.</w:t>
      </w:r>
    </w:p>
    <w:p>
      <w:pPr>
        <w:pStyle w:val="Articulo"/>
        <w:keepNext/>
        <w:spacing w:after="120" w:before="280"/>
      </w:pPr>
      <w:r>
        <w:rPr>
          <w:rFonts w:ascii="Arial" w:cs="Arial" w:eastAsia="Arial" w:hAnsi="Arial"/>
          <w:b/>
          <w:bCs/>
          <w:color w:val="14213D"/>
          <w:sz w:val="22"/>
          <w:szCs w:val="22"/>
        </w:rPr>
        <w:t xml:space="preserve">Artículo 45</w:t>
      </w:r>
      <w:r>
        <w:rPr>
          <w:rFonts w:ascii="Arial" w:cs="Arial" w:eastAsia="Arial" w:hAnsi="Arial"/>
          <w:color w:val="555555"/>
          <w:sz w:val="22"/>
          <w:szCs w:val="22"/>
        </w:rPr>
        <w:t xml:space="preserve"> · Equidistribución de las cargas y beneficios</w:t>
      </w:r>
    </w:p>
    <w:p>
      <w:pPr>
        <w:spacing w:after="120"/>
        <w:jc w:val="both"/>
      </w:pPr>
      <w:r>
        <w:rPr>
          <w:sz w:val="22"/>
          <w:szCs w:val="22"/>
        </w:rPr>
        <w:t xml:space="preserve">(Equidistribución de las cargas y beneficios).- Establécese la distribución equitativa de las cargas y beneficios generados por el ordenamiento territorial entre los titulares de los inmuebles involucrados en las acciones derivadas del mismo y de su ejecución.</w:t>
      </w:r>
    </w:p>
    <w:p>
      <w:pPr>
        <w:spacing w:after="120"/>
        <w:jc w:val="both"/>
      </w:pPr>
      <w:r>
        <w:rPr>
          <w:sz w:val="22"/>
          <w:szCs w:val="22"/>
        </w:rPr>
        <w:t xml:space="preserve">Los instrumentos de ordenamiento territorial contendrán disposiciones que consagren un sistema adecuado de distribución equitativa de cargas y beneficios entre los propietarios de inmuebles involucrados en el ordenamiento territorial.</w:t>
      </w:r>
    </w:p>
    <w:p>
      <w:pPr>
        <w:pStyle w:val="Articulo"/>
        <w:keepNext/>
        <w:spacing w:after="120" w:before="280"/>
      </w:pPr>
      <w:r>
        <w:rPr>
          <w:rFonts w:ascii="Arial" w:cs="Arial" w:eastAsia="Arial" w:hAnsi="Arial"/>
          <w:b/>
          <w:bCs/>
          <w:color w:val="14213D"/>
          <w:sz w:val="22"/>
          <w:szCs w:val="22"/>
        </w:rPr>
        <w:t xml:space="preserve">Artículo 46</w:t>
      </w:r>
      <w:r>
        <w:rPr>
          <w:rFonts w:ascii="Arial" w:cs="Arial" w:eastAsia="Arial" w:hAnsi="Arial"/>
          <w:color w:val="555555"/>
          <w:sz w:val="22"/>
          <w:szCs w:val="22"/>
        </w:rPr>
        <w:t xml:space="preserve"> · Retorno de las valorizaciones</w:t>
      </w:r>
    </w:p>
    <w:p>
      <w:pPr>
        <w:spacing w:after="120"/>
        <w:jc w:val="both"/>
      </w:pPr>
      <w:r>
        <w:rPr>
          <w:sz w:val="22"/>
          <w:szCs w:val="22"/>
        </w:rPr>
        <w:t xml:space="preserve">(Retorno de las valorizaciones).- Una vez que se aprueben los instrumentos de ordenamiento territorial, la Intendencia tendrá derecho como, administración territorial competente, a participar en el mayor valor inmobiliario que derive para dichos terrenos de las acciones de ordenamiento territorial, ejecución y actuación, en la proporción mínima que a continuación se establece:</w:t>
      </w:r>
    </w:p>
    <w:p>
      <w:pPr>
        <w:spacing w:after="120"/>
        <w:ind w:left="567"/>
        <w:jc w:val="both"/>
      </w:pPr>
      <w:r>
        <w:rPr>
          <w:sz w:val="22"/>
          <w:szCs w:val="22"/>
        </w:rPr>
        <w:t xml:space="preserve">a) En el suelo a transformar el 5% (cinco por ciento) de la</w:t>
      </w:r>
    </w:p>
    <w:p>
      <w:pPr>
        <w:spacing w:after="120"/>
        <w:jc w:val="both"/>
      </w:pPr>
      <w:r>
        <w:rPr>
          <w:sz w:val="22"/>
          <w:szCs w:val="22"/>
        </w:rPr>
        <w:t xml:space="preserve">edificabilidad total atribuida al ámbito.</w:t>
      </w:r>
    </w:p>
    <w:p>
      <w:pPr>
        <w:spacing w:after="120"/>
        <w:ind w:left="567"/>
        <w:jc w:val="both"/>
      </w:pPr>
      <w:r>
        <w:rPr>
          <w:sz w:val="22"/>
          <w:szCs w:val="22"/>
        </w:rPr>
        <w:t xml:space="preserve">b) En el suelo urbano, correspondiente a áreas objeto de renovación,</w:t>
      </w:r>
    </w:p>
    <w:p>
      <w:pPr>
        <w:spacing w:after="120"/>
        <w:jc w:val="both"/>
      </w:pPr>
      <w:r>
        <w:rPr>
          <w:sz w:val="22"/>
          <w:szCs w:val="22"/>
        </w:rPr>
        <w:t xml:space="preserve">consolidación o reordenamiento, el 15% (quince por ciento) de la mayor</w:t>
      </w:r>
    </w:p>
    <w:p>
      <w:pPr>
        <w:spacing w:after="120"/>
        <w:jc w:val="both"/>
      </w:pPr>
      <w:r>
        <w:rPr>
          <w:sz w:val="22"/>
          <w:szCs w:val="22"/>
        </w:rPr>
        <w:t xml:space="preserve">edificabilidad autorizada por el nuevo ordenamiento en el ámbito. (*)</w:t>
      </w:r>
    </w:p>
    <w:p>
      <w:pPr>
        <w:spacing w:after="120"/>
        <w:jc w:val="both"/>
      </w:pPr>
      <w:r>
        <w:rPr>
          <w:sz w:val="22"/>
          <w:szCs w:val="22"/>
        </w:rPr>
        <w:t xml:space="preserve">La participación se materializará mediante la cesión de pleno derecho de inmuebles libres de cargas de cualquier tipo a la Intendencia Municipal para su inclusión en la cartera de tierras.</w:t>
      </w:r>
    </w:p>
    <w:p>
      <w:pPr>
        <w:spacing w:after="120"/>
        <w:jc w:val="both"/>
      </w:pPr>
      <w:r>
        <w:rPr>
          <w:sz w:val="22"/>
          <w:szCs w:val="22"/>
        </w:rPr>
        <w:t xml:space="preserve">Los promotores de la actuación, que manifiesten su interés y compromiso por edificar los inmuebles que deben ser objeto de cesión de acuerdo con el instrumento, podrán acordar con la Intendencia Municipal la sustitución de dicha cesión por su equivalente en dinero. Dicho importe será destinado a un fondo de gestión territorial o bien la permuta por otros bienes inmuebles de valor similar.</w:t>
      </w:r>
    </w:p>
    <w:p>
      <w:pPr>
        <w:spacing w:after="120"/>
        <w:jc w:val="both"/>
      </w:pPr>
      <w:r>
        <w:rPr>
          <w:sz w:val="22"/>
          <w:szCs w:val="22"/>
        </w:rPr>
        <w:t xml:space="preserve">Si la Intendencia Municipal asume los costos de urbanización le corresponderá además, en compensación, la adjudicación de una edificabilidad equivalente al valor económico de su inversión.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1º) redacción dada por: Ley Nº 20.212 de 06/11/2023 artículo </w:t>
      </w:r>
      <w:hyperlink w:history="1" r:id="rId13i_morehh6qj5491y74t">
        <w:r>
          <w:rPr>
            <w:rStyle w:val="Hyperlink"/>
            <w:rFonts w:ascii="Arial" w:cs="Arial" w:eastAsia="Arial" w:hAnsi="Arial"/>
            <w:sz w:val="17"/>
            <w:szCs w:val="17"/>
          </w:rPr>
          <w:t xml:space="preserve">386</w:t>
        </w:r>
      </w:hyperlink>
      <w:r>
        <w:rPr>
          <w:rFonts w:ascii="Arial" w:cs="Arial" w:eastAsia="Arial" w:hAnsi="Arial"/>
          <w:color w:val="555555"/>
          <w:sz w:val="17"/>
          <w:szCs w:val="17"/>
        </w:rPr>
        <w:t xml:space="preserve">.
Inciso 1º) ver vigencia: Ley Nº 20.212 de 06/11/2023 artículo </w:t>
      </w:r>
      <w:hyperlink w:history="1" r:id="rIdrj4-s88tozdqa2d3fwrx6">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18.308 de 18/06/2008 artículo </w:t>
      </w:r>
      <w:hyperlink w:history="1" r:id="rIdmmliqd0gs-xxbzdpcy6qt">
        <w:r>
          <w:rPr>
            <w:rStyle w:val="Hyperlink"/>
            <w:rFonts w:ascii="Arial" w:cs="Arial" w:eastAsia="Arial" w:hAnsi="Arial"/>
            <w:sz w:val="17"/>
            <w:szCs w:val="17"/>
          </w:rPr>
          <w:t xml:space="preserve">46</w:t>
        </w:r>
      </w:hyperlink>
      <w:r>
        <w:rPr>
          <w:rFonts w:ascii="Arial" w:cs="Arial" w:eastAsia="Arial" w:hAnsi="Arial"/>
          <w:color w:val="555555"/>
          <w:sz w:val="17"/>
          <w:szCs w:val="17"/>
        </w:rPr>
        <w:t xml:space="preserve">.</w:t>
      </w:r>
    </w:p>
    <w:p>
      <w:pPr>
        <w:pStyle w:val="Heading3"/>
      </w:pPr>
      <w:r>
        <w:t xml:space="preserve">CAPÍTULO IV - SUSTENTABILIDAD AMBIENTAL EN EL ORDENAMIENTO TERRITORIAL</w:t>
      </w:r>
    </w:p>
    <w:p>
      <w:pPr>
        <w:pStyle w:val="Articulo"/>
        <w:keepNext/>
        <w:spacing w:after="120" w:before="280"/>
      </w:pPr>
      <w:r>
        <w:rPr>
          <w:rFonts w:ascii="Arial" w:cs="Arial" w:eastAsia="Arial" w:hAnsi="Arial"/>
          <w:b/>
          <w:bCs/>
          <w:color w:val="14213D"/>
          <w:sz w:val="22"/>
          <w:szCs w:val="22"/>
        </w:rPr>
        <w:t xml:space="preserve">Artículo 47</w:t>
      </w:r>
      <w:r>
        <w:rPr>
          <w:rFonts w:ascii="Arial" w:cs="Arial" w:eastAsia="Arial" w:hAnsi="Arial"/>
          <w:color w:val="555555"/>
          <w:sz w:val="22"/>
          <w:szCs w:val="22"/>
        </w:rPr>
        <w:t xml:space="preserve"> · Garantía de sostenibilidad. Procedimiento ambiental de los instrumentos</w:t>
      </w:r>
    </w:p>
    <w:p>
      <w:pPr>
        <w:spacing w:after="120"/>
        <w:jc w:val="both"/>
      </w:pPr>
      <w:r>
        <w:rPr>
          <w:sz w:val="22"/>
          <w:szCs w:val="22"/>
        </w:rPr>
        <w:t xml:space="preserve">(Garantía de sostenibilidad. Procedimiento ambiental de los instrumentos).- Los instrumentos de ordenamiento territorial establecerán una regulación ambientalmente sustentable, asumiendo como objetivo prioritario la conservación del ambiente, comprendiendo los recursos naturales y la biodiversidad, adoptando soluciones que garanticen la sostenibilidad.</w:t>
      </w:r>
    </w:p>
    <w:p>
      <w:pPr>
        <w:spacing w:after="120"/>
        <w:jc w:val="both"/>
      </w:pPr>
      <w:r>
        <w:rPr>
          <w:sz w:val="22"/>
          <w:szCs w:val="22"/>
        </w:rPr>
        <w:t xml:space="preserve">Los instrumentos de ordenamiento territorial, a excepción de los del ámbito nacional, deberán contar con una Evaluación Ambiental Estratégica aprobada por el Ministerio de Vivienda, Ordenamiento Territorial y Medio Ambiente a través de la Dirección Nacional de Medio Ambiente en la forma que establezca la reglamentación. El procedimiento ambiental se integrará en la elaboración del correspondiente instrumento.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19.355 de 19/12/2015 artículo </w:t>
      </w:r>
      <w:hyperlink w:history="1" r:id="rIdgt0urga3a-k0ezy1ickvj">
        <w:r>
          <w:rPr>
            <w:rStyle w:val="Hyperlink"/>
            <w:rFonts w:ascii="Arial" w:cs="Arial" w:eastAsia="Arial" w:hAnsi="Arial"/>
            <w:sz w:val="17"/>
            <w:szCs w:val="17"/>
          </w:rPr>
          <w:t xml:space="preserve">502</w:t>
        </w:r>
      </w:hyperlink>
      <w:r>
        <w:rPr>
          <w:rFonts w:ascii="Arial" w:cs="Arial" w:eastAsia="Arial" w:hAnsi="Arial"/>
          <w:color w:val="555555"/>
          <w:sz w:val="17"/>
          <w:szCs w:val="17"/>
        </w:rPr>
        <w:t xml:space="preserve">.
Ver vigencia: Ley Nº 19.355 de 19/12/2015 artículo </w:t>
      </w:r>
      <w:hyperlink w:history="1" r:id="rIdihlpip92qiiwovdrq1aj-">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18.308 de 18/06/2008 artículo </w:t>
      </w:r>
      <w:hyperlink w:history="1" r:id="rIdztjc915hbxcpw06bzvs9w">
        <w:r>
          <w:rPr>
            <w:rStyle w:val="Hyperlink"/>
            <w:rFonts w:ascii="Arial" w:cs="Arial" w:eastAsia="Arial" w:hAnsi="Arial"/>
            <w:sz w:val="17"/>
            <w:szCs w:val="17"/>
          </w:rPr>
          <w:t xml:space="preserve">47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48</w:t>
      </w:r>
      <w:r>
        <w:rPr>
          <w:rFonts w:ascii="Arial" w:cs="Arial" w:eastAsia="Arial" w:hAnsi="Arial"/>
          <w:color w:val="555555"/>
          <w:sz w:val="22"/>
          <w:szCs w:val="22"/>
        </w:rPr>
        <w:t xml:space="preserve"> · Exclusión de suelo en el proceso de urbanización</w:t>
      </w:r>
    </w:p>
    <w:p>
      <w:pPr>
        <w:spacing w:after="120"/>
        <w:jc w:val="both"/>
      </w:pPr>
      <w:r>
        <w:rPr>
          <w:sz w:val="22"/>
          <w:szCs w:val="22"/>
        </w:rPr>
        <w:t xml:space="preserve">(Exclusión de suelo en el proceso de urbanización).- Quedan excluidos del proceso urbanizador los suelos:</w:t>
      </w:r>
    </w:p>
    <w:p>
      <w:pPr>
        <w:spacing w:after="120"/>
        <w:ind w:left="567"/>
        <w:jc w:val="both"/>
      </w:pPr>
      <w:r>
        <w:rPr>
          <w:sz w:val="22"/>
          <w:szCs w:val="22"/>
        </w:rPr>
        <w:t xml:space="preserve">a) Pertenecientes al Sistema Nacional de áreas Naturales Protegidas,</w:t>
      </w:r>
    </w:p>
    <w:p>
      <w:pPr>
        <w:spacing w:after="120"/>
        <w:jc w:val="both"/>
      </w:pPr>
      <w:r>
        <w:rPr>
          <w:sz w:val="22"/>
          <w:szCs w:val="22"/>
        </w:rPr>
        <w:t xml:space="preserve">salvo lo que se establezca en aplicación de lo dispuesto por la Ley Nº</w:t>
      </w:r>
    </w:p>
    <w:p>
      <w:pPr>
        <w:spacing w:after="120"/>
        <w:jc w:val="both"/>
      </w:pPr>
      <w:r>
        <w:rPr>
          <w:sz w:val="22"/>
          <w:szCs w:val="22"/>
        </w:rPr>
        <w:t xml:space="preserve">17.234, de 22 de febrero de 2000 y su reglamentación.</w:t>
      </w:r>
    </w:p>
    <w:p>
      <w:pPr>
        <w:spacing w:after="120"/>
        <w:ind w:left="567"/>
        <w:jc w:val="both"/>
      </w:pPr>
      <w:r>
        <w:rPr>
          <w:sz w:val="22"/>
          <w:szCs w:val="22"/>
        </w:rPr>
        <w:t xml:space="preserve">b) Con valores ambientales, paisajísticos u otros declarados de</w:t>
      </w:r>
    </w:p>
    <w:p>
      <w:pPr>
        <w:spacing w:after="120"/>
        <w:jc w:val="both"/>
      </w:pPr>
      <w:r>
        <w:rPr>
          <w:sz w:val="22"/>
          <w:szCs w:val="22"/>
        </w:rPr>
        <w:t xml:space="preserve">interés departamental, salvo aquellos contenidos expresamente en los</w:t>
      </w:r>
    </w:p>
    <w:p>
      <w:pPr>
        <w:spacing w:after="120"/>
        <w:jc w:val="both"/>
      </w:pPr>
      <w:r>
        <w:rPr>
          <w:sz w:val="22"/>
          <w:szCs w:val="22"/>
        </w:rPr>
        <w:t xml:space="preserve">instrumentos relativos al área.</w:t>
      </w:r>
    </w:p>
    <w:p>
      <w:pPr>
        <w:spacing w:after="120"/>
        <w:ind w:left="567"/>
        <w:jc w:val="both"/>
      </w:pPr>
      <w:r>
        <w:rPr>
          <w:sz w:val="22"/>
          <w:szCs w:val="22"/>
        </w:rPr>
        <w:t xml:space="preserve">c) Necesarios para la gestión sustentable de los recursos hídricos.</w:t>
      </w:r>
    </w:p>
    <w:p>
      <w:pPr>
        <w:spacing w:after="120"/>
        <w:ind w:left="567"/>
        <w:jc w:val="both"/>
      </w:pPr>
      <w:r>
        <w:rPr>
          <w:sz w:val="22"/>
          <w:szCs w:val="22"/>
        </w:rPr>
        <w:t xml:space="preserve">d) De dominio público que conforme a su legislación específica deban</w:t>
      </w:r>
    </w:p>
    <w:p>
      <w:pPr>
        <w:spacing w:after="120"/>
        <w:jc w:val="both"/>
      </w:pPr>
      <w:r>
        <w:rPr>
          <w:sz w:val="22"/>
          <w:szCs w:val="22"/>
        </w:rPr>
        <w:t xml:space="preserve">ser excluidos.</w:t>
      </w:r>
    </w:p>
    <w:p>
      <w:pPr>
        <w:spacing w:after="120"/>
        <w:ind w:left="567"/>
        <w:jc w:val="both"/>
      </w:pPr>
      <w:r>
        <w:rPr>
          <w:sz w:val="22"/>
          <w:szCs w:val="22"/>
        </w:rPr>
        <w:t xml:space="preserve">e) Con riesgos naturales o con afectación de riesgos tecnológicos de</w:t>
      </w:r>
    </w:p>
    <w:p>
      <w:pPr>
        <w:spacing w:after="120"/>
        <w:jc w:val="both"/>
      </w:pPr>
      <w:r>
        <w:rPr>
          <w:sz w:val="22"/>
          <w:szCs w:val="22"/>
        </w:rPr>
        <w:t xml:space="preserve">accidentes mayores para los bienes y personas.</w:t>
      </w:r>
    </w:p>
    <w:p>
      <w:pPr>
        <w:spacing w:after="120"/>
        <w:ind w:left="567"/>
        <w:jc w:val="both"/>
      </w:pPr>
      <w:r>
        <w:rPr>
          <w:sz w:val="22"/>
          <w:szCs w:val="22"/>
        </w:rPr>
        <w:t xml:space="preserve">f) Con valores agrícolas, ganaderos, forestales o, en general, de</w:t>
      </w:r>
    </w:p>
    <w:p>
      <w:pPr>
        <w:spacing w:after="120"/>
        <w:jc w:val="both"/>
      </w:pPr>
      <w:r>
        <w:rPr>
          <w:sz w:val="22"/>
          <w:szCs w:val="22"/>
        </w:rPr>
        <w:t xml:space="preserve">interés departamental, regional o nacional para la producción rural.</w:t>
      </w:r>
    </w:p>
    <w:p>
      <w:pPr>
        <w:spacing w:after="120"/>
        <w:ind w:left="567"/>
        <w:jc w:val="both"/>
      </w:pPr>
      <w:r>
        <w:rPr>
          <w:sz w:val="22"/>
          <w:szCs w:val="22"/>
        </w:rPr>
        <w:t xml:space="preserve">g) Que los instrumentos de ordenamiento territorial consideren</w:t>
      </w:r>
    </w:p>
    <w:p>
      <w:pPr>
        <w:spacing w:after="120"/>
        <w:jc w:val="both"/>
      </w:pPr>
      <w:r>
        <w:rPr>
          <w:sz w:val="22"/>
          <w:szCs w:val="22"/>
        </w:rPr>
        <w:t xml:space="preserve">incompatible con el modelo adoptado.</w:t>
      </w:r>
    </w:p>
    <w:p>
      <w:pPr>
        <w:spacing w:after="120"/>
        <w:jc w:val="both"/>
      </w:pPr>
      <w:r>
        <w:rPr>
          <w:sz w:val="22"/>
          <w:szCs w:val="22"/>
        </w:rPr>
        <w:t xml:space="preserve">Los instrumentos de ordenamiento territorial establecerán medidas de protección especial cuando concurra alguna de las circunstancias señaladas.</w:t>
      </w:r>
    </w:p>
    <w:p>
      <w:pPr>
        <w:pStyle w:val="Articulo"/>
        <w:keepNext/>
        <w:spacing w:after="120" w:before="280"/>
      </w:pPr>
      <w:r>
        <w:rPr>
          <w:rFonts w:ascii="Arial" w:cs="Arial" w:eastAsia="Arial" w:hAnsi="Arial"/>
          <w:b/>
          <w:bCs/>
          <w:color w:val="14213D"/>
          <w:sz w:val="22"/>
          <w:szCs w:val="22"/>
        </w:rPr>
        <w:t xml:space="preserve">Artículo 49</w:t>
      </w:r>
      <w:r>
        <w:rPr>
          <w:rFonts w:ascii="Arial" w:cs="Arial" w:eastAsia="Arial" w:hAnsi="Arial"/>
          <w:color w:val="555555"/>
          <w:sz w:val="22"/>
          <w:szCs w:val="22"/>
        </w:rPr>
        <w:t xml:space="preserve"> · Prevención de riesgos</w:t>
      </w:r>
    </w:p>
    <w:p>
      <w:pPr>
        <w:spacing w:after="120"/>
        <w:jc w:val="both"/>
      </w:pPr>
      <w:r>
        <w:rPr>
          <w:sz w:val="22"/>
          <w:szCs w:val="22"/>
        </w:rPr>
        <w:t xml:space="preserve">(Prevención de riesgos).- Los instrumentos deberán tener en cuenta en la asignación de usos de suelo los objetivos de prevención y las limitaciones territoriales establecidas por los organismos competentes en lo referido a los riesgos para la salud humana.</w:t>
      </w:r>
    </w:p>
    <w:p>
      <w:pPr>
        <w:spacing w:after="120"/>
        <w:jc w:val="both"/>
      </w:pPr>
      <w:r>
        <w:rPr>
          <w:sz w:val="22"/>
          <w:szCs w:val="22"/>
        </w:rPr>
        <w:t xml:space="preserve">Deberán proteger la sustentabilidad productiva del recurso suelo como bien no renovable, no autorizando las actividades causantes de degradación hídrica o del suelo, o las incompatibles con otros tipos de utilización más beneficiosa para el suelo, el agua o la biota.</w:t>
      </w:r>
    </w:p>
    <w:p>
      <w:pPr>
        <w:spacing w:after="120"/>
        <w:jc w:val="both"/>
      </w:pPr>
      <w:r>
        <w:rPr>
          <w:sz w:val="22"/>
          <w:szCs w:val="22"/>
        </w:rPr>
        <w:t xml:space="preserve">Queda comprendida en las competencias de los instrumentos de ordenamiento territorial la facultad de establecer límites y distancias mínimas entre sí de cultivos agrícolas y forestales o con otros usos de suelo y actividades en el territorio.</w:t>
      </w:r>
    </w:p>
    <w:p>
      <w:pPr>
        <w:spacing w:after="120"/>
        <w:jc w:val="both"/>
      </w:pPr>
      <w:r>
        <w:rPr>
          <w:sz w:val="22"/>
          <w:szCs w:val="22"/>
        </w:rPr>
        <w:t xml:space="preserve">Los instrumentos de ordenamiento territorial deberán orientar los futuros desarrollos urbanos hacia zonas no inundables identificadas por el organismo estatal competente en el ordenamiento de los recursos hídricos.</w:t>
      </w:r>
    </w:p>
    <w:p>
      <w:pPr>
        <w:spacing w:after="120"/>
        <w:jc w:val="both"/>
      </w:pPr>
      <w:r>
        <w:rPr>
          <w:sz w:val="22"/>
          <w:szCs w:val="22"/>
        </w:rPr>
        <w:t xml:space="preserve">Los instrumentos de ordenamiento territorial del ámbito departamental referidos al suelo urbano y suburbano, deberán incluir un mapa de riesgo que definirá los niveles de riesgo de las áreas inundables del territorio objeto de regulación, clasificándolos en riesgo alto, medio y bajo, definiendo los usos y actividades admisibles en dichas zonas conforme a lo dispuesto por la reglamentación específica en la materia.</w:t>
      </w:r>
    </w:p>
    <w:p>
      <w:pPr>
        <w:spacing w:after="120"/>
        <w:jc w:val="both"/>
      </w:pPr>
      <w:r>
        <w:rPr>
          <w:sz w:val="22"/>
          <w:szCs w:val="22"/>
        </w:rPr>
        <w:t xml:space="preserve">En áreas rurales o áreas urbanas y suburbanas que no cuenten con mapa de riesgo, la Dirección Nacional de Aguas definirá las zonas inundables según probabilidad de ocurrencia en los cuerpos o cursos de agua del país, entre ellas las zonas inundables con períodos de retorno menor a cien años, no siendo admisible el uso residencial permanente ni la creación de nuevos predios con usos incompatibles con la situación de inundación.</w:t>
      </w:r>
    </w:p>
    <w:p>
      <w:pPr>
        <w:spacing w:after="120"/>
        <w:jc w:val="both"/>
      </w:pPr>
      <w:r>
        <w:rPr>
          <w:sz w:val="22"/>
          <w:szCs w:val="22"/>
        </w:rPr>
        <w:t xml:space="preserve">En caso de que no sea posible la definición del período de retorno mencionado se entenderá por zonas inundables las que se encuentren a nivel inferior de cincuenta centímetros por encima de las más altas crecientes conocidas.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20.212 de 06/11/2023 artículo </w:t>
      </w:r>
      <w:hyperlink w:history="1" r:id="rIda2yclpx0yegyj0ccxzb2t">
        <w:r>
          <w:rPr>
            <w:rStyle w:val="Hyperlink"/>
            <w:rFonts w:ascii="Arial" w:cs="Arial" w:eastAsia="Arial" w:hAnsi="Arial"/>
            <w:sz w:val="17"/>
            <w:szCs w:val="17"/>
          </w:rPr>
          <w:t xml:space="preserve">387</w:t>
        </w:r>
      </w:hyperlink>
      <w:r>
        <w:rPr>
          <w:rFonts w:ascii="Arial" w:cs="Arial" w:eastAsia="Arial" w:hAnsi="Arial"/>
          <w:color w:val="555555"/>
          <w:sz w:val="17"/>
          <w:szCs w:val="17"/>
        </w:rPr>
        <w:t xml:space="preserve">.
Ver vigencia: Ley Nº 20.212 de 06/11/2023 artículo </w:t>
      </w:r>
      <w:hyperlink w:history="1" r:id="rIdu-qmcqicnhu6kkgzy7bek">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18.308 de 18/06/2008 artículo </w:t>
      </w:r>
      <w:hyperlink w:history="1" r:id="rIdwpwiamhbjgbsj2samdnea">
        <w:r>
          <w:rPr>
            <w:rStyle w:val="Hyperlink"/>
            <w:rFonts w:ascii="Arial" w:cs="Arial" w:eastAsia="Arial" w:hAnsi="Arial"/>
            <w:sz w:val="17"/>
            <w:szCs w:val="17"/>
          </w:rPr>
          <w:t xml:space="preserve">49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50</w:t>
      </w:r>
      <w:r>
        <w:rPr>
          <w:rFonts w:ascii="Arial" w:cs="Arial" w:eastAsia="Arial" w:hAnsi="Arial"/>
          <w:color w:val="555555"/>
          <w:sz w:val="22"/>
          <w:szCs w:val="22"/>
        </w:rPr>
        <w:t xml:space="preserve"> · Protección de las zonas costeras</w:t>
      </w:r>
    </w:p>
    <w:p>
      <w:pPr>
        <w:spacing w:after="120"/>
        <w:jc w:val="both"/>
      </w:pPr>
      <w:r>
        <w:rPr>
          <w:sz w:val="22"/>
          <w:szCs w:val="22"/>
        </w:rPr>
        <w:t xml:space="preserve">(Protección de las zonas costeras).- Sin perjuicio de la faja de defensa de costas establecida en el artículo 153 del Código de Aguas, en la redacción dada por el artículo 193 de la Ley Nº 15.903, de 10 de noviembre de 1987, el litoral de los ríos de la Plata, Uruguay, Negro, Santa Lucía, Cuareim y Yaguarón, así como el litoral Atlántico nacional y las costas de la Laguna Merim, serán especialmente protegidos por los instrumentos de ordenamiento territorial.</w:t>
      </w:r>
    </w:p>
    <w:p>
      <w:pPr>
        <w:spacing w:after="120"/>
        <w:jc w:val="both"/>
      </w:pPr>
      <w:r>
        <w:rPr>
          <w:sz w:val="22"/>
          <w:szCs w:val="22"/>
        </w:rPr>
        <w:t xml:space="preserve">En los fraccionamientos ya aprobados y no consolidados a la vigencia de la presente ley en la faja de defensa de costas, que no cuenten con infraestructuras y en la mayoría de cuyos solares no se haya construido, únicamente podrá autorizarse la edificación presentando un Plan Especial que proceda al reordenamiento, reagrupamiento y reparcelación del ámbito, sin perjuicio de lo dispuesto por la Ley Nº 16.466, de 19 de enero de 1994 y su reglamentación.</w:t>
      </w:r>
    </w:p>
    <w:p>
      <w:pPr>
        <w:spacing w:after="120"/>
        <w:jc w:val="both"/>
      </w:pPr>
      <w:r>
        <w:rPr>
          <w:sz w:val="22"/>
          <w:szCs w:val="22"/>
        </w:rPr>
        <w:t xml:space="preserve">El Plan referido destinará a espacios libres los primeros 150 (ciento cincuenta) metros de la ribera medidos hacia el interior del territorio, en las condiciones establecidas por el inciso tercero del artículo 13 de la Ley Nº 10.723, de 21 de abril de 1946 en la redacción dada por la Ley Nº 10.866, de 25 de octubre de 1946 y asegurará la accesibilidad. Asimismo evitará la formación de edificaciones continuas paralelas a la costa en el resto de la faja, sin perjuicio del cumplimiento de las demás condiciones que establezca la normativa aplicable a la que necesariamente deberá someterse el Plan Especial antes de su aprobación definitiva.</w:t>
      </w:r>
    </w:p>
    <w:p>
      <w:pPr>
        <w:spacing w:after="120"/>
        <w:jc w:val="both"/>
      </w:pPr>
      <w:r>
        <w:rPr>
          <w:sz w:val="22"/>
          <w:szCs w:val="22"/>
        </w:rPr>
        <w:t xml:space="preserve">Los recursos administrativos no tendrán efectos suspensivos cuando se trate de inmuebles públicos o privados comprendidos en la faja costera referida en el inciso primero.</w:t>
      </w:r>
    </w:p>
    <w:p>
      <w:pPr>
        <w:pStyle w:val="Articulo"/>
        <w:keepNext/>
        <w:spacing w:after="120" w:before="280"/>
      </w:pPr>
      <w:r>
        <w:rPr>
          <w:rFonts w:ascii="Arial" w:cs="Arial" w:eastAsia="Arial" w:hAnsi="Arial"/>
          <w:b/>
          <w:bCs/>
          <w:color w:val="14213D"/>
          <w:sz w:val="22"/>
          <w:szCs w:val="22"/>
        </w:rPr>
        <w:t xml:space="preserve">Artículo 51</w:t>
      </w:r>
      <w:r>
        <w:rPr>
          <w:rFonts w:ascii="Arial" w:cs="Arial" w:eastAsia="Arial" w:hAnsi="Arial"/>
          <w:color w:val="555555"/>
          <w:sz w:val="22"/>
          <w:szCs w:val="22"/>
        </w:rPr>
        <w:t xml:space="preserve"> · Impactos territoriales negativos en zonas costeras</w:t>
      </w:r>
    </w:p>
    <w:p>
      <w:pPr>
        <w:spacing w:after="120"/>
        <w:jc w:val="both"/>
      </w:pPr>
      <w:r>
        <w:rPr>
          <w:sz w:val="22"/>
          <w:szCs w:val="22"/>
        </w:rPr>
        <w:t xml:space="preserve">(Impactos territoriales negativos en zonas costeras).- El Ministerio de Vivienda, Ordenamiento Territorial y Medio Ambiente (MVOTMA) rechazará fundadamente cualquier emprendimiento, en la faja de defensa de costas, si el mismo fuera capaz de provocar impactos negativos, entendiendo como tales:</w:t>
      </w:r>
    </w:p>
    <w:p>
      <w:pPr>
        <w:spacing w:after="120"/>
        <w:ind w:left="567"/>
        <w:jc w:val="both"/>
      </w:pPr>
      <w:r>
        <w:rPr>
          <w:sz w:val="22"/>
          <w:szCs w:val="22"/>
        </w:rPr>
        <w:t xml:space="preserve">a) La contradicción con los instrumentos de ordenamiento territorial</w:t>
      </w:r>
    </w:p>
    <w:p>
      <w:pPr>
        <w:spacing w:after="120"/>
        <w:jc w:val="both"/>
      </w:pPr>
      <w:r>
        <w:rPr>
          <w:sz w:val="22"/>
          <w:szCs w:val="22"/>
        </w:rPr>
        <w:t xml:space="preserve">aplicables.</w:t>
      </w:r>
    </w:p>
    <w:p>
      <w:pPr>
        <w:spacing w:after="120"/>
        <w:ind w:left="567"/>
        <w:jc w:val="both"/>
      </w:pPr>
      <w:r>
        <w:rPr>
          <w:sz w:val="22"/>
          <w:szCs w:val="22"/>
        </w:rPr>
        <w:t xml:space="preserve">b) La construcción de edificaciones sin sistema de saneamiento con</w:t>
      </w:r>
    </w:p>
    <w:p>
      <w:pPr>
        <w:spacing w:after="120"/>
        <w:jc w:val="both"/>
      </w:pPr>
      <w:r>
        <w:rPr>
          <w:sz w:val="22"/>
          <w:szCs w:val="22"/>
        </w:rPr>
        <w:t xml:space="preserve">tratamiento total de efluentes o conexión a red.</w:t>
      </w:r>
    </w:p>
    <w:p>
      <w:pPr>
        <w:spacing w:after="120"/>
        <w:ind w:left="567"/>
        <w:jc w:val="both"/>
      </w:pPr>
      <w:r>
        <w:rPr>
          <w:sz w:val="22"/>
          <w:szCs w:val="22"/>
        </w:rPr>
        <w:t xml:space="preserve">c) La materialización de fraccionamientos o loteos sin las</w:t>
      </w:r>
    </w:p>
    <w:p>
      <w:pPr>
        <w:spacing w:after="120"/>
        <w:jc w:val="both"/>
      </w:pPr>
      <w:r>
        <w:rPr>
          <w:sz w:val="22"/>
          <w:szCs w:val="22"/>
        </w:rPr>
        <w:t xml:space="preserve">infraestructuras completas necesarias.</w:t>
      </w:r>
    </w:p>
    <w:p>
      <w:pPr>
        <w:spacing w:after="120"/>
        <w:ind w:left="567"/>
        <w:jc w:val="both"/>
      </w:pPr>
      <w:r>
        <w:rPr>
          <w:sz w:val="22"/>
          <w:szCs w:val="22"/>
        </w:rPr>
        <w:t xml:space="preserve">d) Las demás que prevea la reglamentación.</w:t>
      </w:r>
    </w:p>
    <w:p>
      <w:pPr>
        <w:spacing w:after="120"/>
        <w:jc w:val="both"/>
      </w:pPr>
      <w:r>
        <w:rPr>
          <w:sz w:val="22"/>
          <w:szCs w:val="22"/>
        </w:rPr>
        <w:t xml:space="preserve">También se evaluará la posibilidad de que el emprendimiento pueda ser capaz de generar impactos territoriales acumulativos, entendiéndose por tales la posibilidad de posteriores iniciativas que, por su acumulación, puedan configurar disfunciones territoriales o ambientales severas.</w:t>
      </w:r>
    </w:p>
    <w:p>
      <w:pPr>
        <w:pStyle w:val="Heading3"/>
      </w:pPr>
      <w:r>
        <w:t xml:space="preserve">CAPÍTULO V - DISPOSICIONES DE VIVIENDA Y SUELO EN EL MARCO DEL ORDENAMIENTO TERRITORIAL Y DESARROLLO SOSTENIBLE</w:t>
      </w:r>
    </w:p>
    <w:p>
      <w:pPr>
        <w:pStyle w:val="Articulo"/>
        <w:keepNext/>
        <w:spacing w:after="120" w:before="280"/>
      </w:pPr>
      <w:r>
        <w:rPr>
          <w:rFonts w:ascii="Arial" w:cs="Arial" w:eastAsia="Arial" w:hAnsi="Arial"/>
          <w:b/>
          <w:bCs/>
          <w:color w:val="14213D"/>
          <w:sz w:val="22"/>
          <w:szCs w:val="22"/>
        </w:rPr>
        <w:t xml:space="preserve">Artículo 52</w:t>
      </w:r>
      <w:r>
        <w:rPr>
          <w:rFonts w:ascii="Arial" w:cs="Arial" w:eastAsia="Arial" w:hAnsi="Arial"/>
          <w:color w:val="555555"/>
          <w:sz w:val="22"/>
          <w:szCs w:val="22"/>
        </w:rPr>
        <w:t xml:space="preserve"> · Coordinación entre las estrategias habitacionales y de suelo</w:t>
      </w:r>
    </w:p>
    <w:p>
      <w:pPr>
        <w:spacing w:after="120"/>
        <w:jc w:val="both"/>
      </w:pPr>
      <w:r>
        <w:rPr>
          <w:sz w:val="22"/>
          <w:szCs w:val="22"/>
        </w:rPr>
        <w:t xml:space="preserve">(Coordinación entre las estrategias habitacionales y de suelo).- El ordenamiento territorial constituirá el instrumento fundamental en la articulación de las políticas públicas habitacionales y de suelo.</w:t>
      </w:r>
    </w:p>
    <w:p>
      <w:pPr>
        <w:spacing w:after="120"/>
        <w:jc w:val="both"/>
      </w:pPr>
      <w:r>
        <w:rPr>
          <w:sz w:val="22"/>
          <w:szCs w:val="22"/>
        </w:rPr>
        <w:t xml:space="preserve">Los Gobiernos Departamentales, a través de los instrumentos de ordenamiento territorial y desarrollo sostenible, impulsarán las políticas habitacionales y de suelo delimitando áreas de territorio categoría urbana o con el atributo de potencialmente transformable en su caso, destinadas a las carteras públicas de tierras y calificando suelo destinado a vivienda de interés social en coordinación con el Plan Quinquenal de Vivienda.</w:t>
      </w:r>
    </w:p>
    <w:p>
      <w:pPr>
        <w:spacing w:after="120"/>
        <w:jc w:val="both"/>
      </w:pPr>
      <w:r>
        <w:rPr>
          <w:sz w:val="22"/>
          <w:szCs w:val="22"/>
        </w:rPr>
        <w:t xml:space="preserve">La aprobación de la delimitación del área será considerada como de declaración de utilidad pública a los efectos de su eventual expropiación.</w:t>
      </w:r>
    </w:p>
    <w:p>
      <w:pPr>
        <w:pStyle w:val="Articulo"/>
        <w:keepNext/>
        <w:spacing w:after="120" w:before="280"/>
      </w:pPr>
      <w:r>
        <w:rPr>
          <w:rFonts w:ascii="Arial" w:cs="Arial" w:eastAsia="Arial" w:hAnsi="Arial"/>
          <w:b/>
          <w:bCs/>
          <w:color w:val="14213D"/>
          <w:sz w:val="22"/>
          <w:szCs w:val="22"/>
        </w:rPr>
        <w:t xml:space="preserve">Artículo 53</w:t>
      </w:r>
      <w:r>
        <w:rPr>
          <w:rFonts w:ascii="Arial" w:cs="Arial" w:eastAsia="Arial" w:hAnsi="Arial"/>
          <w:color w:val="555555"/>
          <w:sz w:val="22"/>
          <w:szCs w:val="22"/>
        </w:rPr>
        <w:t xml:space="preserve"> · Reserva de suelo para vivienda de interés social</w:t>
      </w:r>
    </w:p>
    <w:p>
      <w:pPr>
        <w:spacing w:after="120"/>
        <w:jc w:val="both"/>
      </w:pPr>
      <w:r>
        <w:rPr>
          <w:sz w:val="22"/>
          <w:szCs w:val="22"/>
        </w:rPr>
        <w:t xml:space="preserve">(Reserva de suelo para vivienda de interés social).- En los sectores de suelo urbano o con el atributo de potencialmente transformable en que se desarrollen actuaciones de urbanización residencial, los instrumentos de ordenamiento territorial preverán viviendas de interés social de cualquiera de las categorías previstas en la Ley N° 13.728, de 17 de diciembre de 1968 y sus modificativas. El número de éstas se situará entre el 10% (diez por ciento) y el 30% (treinta por ciento) de las viviendas totales que se autoricen en el ámbito de actuación. El porcentaje mínimo será concretado por el instrumento atendiendo a las necesidades de viviendas de interés social y a las características de los diferentes desarrollos residenciales. Se podrá eximir de esta obligación a las actuaciones en las que no se incremente el número de viviendas existentes.</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19.355 de 19/12/2015 artículo </w:t>
      </w:r>
      <w:hyperlink w:history="1" r:id="rIdzew56c1cc21mus5k-xtji">
        <w:r>
          <w:rPr>
            <w:rStyle w:val="Hyperlink"/>
            <w:rFonts w:ascii="Arial" w:cs="Arial" w:eastAsia="Arial" w:hAnsi="Arial"/>
            <w:sz w:val="17"/>
            <w:szCs w:val="17"/>
          </w:rPr>
          <w:t xml:space="preserve">488</w:t>
        </w:r>
      </w:hyperlink>
      <w:r>
        <w:rPr>
          <w:rFonts w:ascii="Arial" w:cs="Arial" w:eastAsia="Arial" w:hAnsi="Arial"/>
          <w:color w:val="555555"/>
          <w:sz w:val="17"/>
          <w:szCs w:val="17"/>
        </w:rPr>
        <w:t xml:space="preserve">.
Ver vigencia: Ley Nº 19.355 de 19/12/2015 artículo </w:t>
      </w:r>
      <w:hyperlink w:history="1" r:id="rId_jlb4k-uuy_mvvmfzd-gs">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18.308 de 18/06/2008 artículo </w:t>
      </w:r>
      <w:hyperlink w:history="1" r:id="rIdj3u5nzfrjs_2fkovu0-j6">
        <w:r>
          <w:rPr>
            <w:rStyle w:val="Hyperlink"/>
            <w:rFonts w:ascii="Arial" w:cs="Arial" w:eastAsia="Arial" w:hAnsi="Arial"/>
            <w:sz w:val="17"/>
            <w:szCs w:val="17"/>
          </w:rPr>
          <w:t xml:space="preserve">53</w:t>
        </w:r>
      </w:hyperlink>
      <w:r>
        <w:rPr>
          <w:rFonts w:ascii="Arial" w:cs="Arial" w:eastAsia="Arial" w:hAnsi="Arial"/>
          <w:color w:val="555555"/>
          <w:sz w:val="17"/>
          <w:szCs w:val="17"/>
        </w:rPr>
        <w:t xml:space="preserve">.</w:t>
      </w:r>
    </w:p>
    <w:p>
      <w:pPr>
        <w:pStyle w:val="Heading2"/>
      </w:pPr>
      <w:r>
        <w:t xml:space="preserve">TÍTULO V - LA ACTUACION Y CONTROL EN EL MARCO DEL ORDENAMIENTO TERRITORIAL</w:t>
      </w:r>
    </w:p>
    <w:p>
      <w:pPr>
        <w:pStyle w:val="Heading3"/>
      </w:pPr>
      <w:r>
        <w:t xml:space="preserve">CAPÍTULO I - ACTUACION TERRITORIAL</w:t>
      </w:r>
    </w:p>
    <w:p>
      <w:pPr>
        <w:pStyle w:val="Articulo"/>
        <w:keepNext/>
        <w:spacing w:after="120" w:before="280"/>
      </w:pPr>
      <w:r>
        <w:rPr>
          <w:rFonts w:ascii="Arial" w:cs="Arial" w:eastAsia="Arial" w:hAnsi="Arial"/>
          <w:b/>
          <w:bCs/>
          <w:color w:val="14213D"/>
          <w:sz w:val="22"/>
          <w:szCs w:val="22"/>
        </w:rPr>
        <w:t xml:space="preserve">Artículo 54</w:t>
      </w:r>
      <w:r>
        <w:rPr>
          <w:rFonts w:ascii="Arial" w:cs="Arial" w:eastAsia="Arial" w:hAnsi="Arial"/>
          <w:color w:val="555555"/>
          <w:sz w:val="22"/>
          <w:szCs w:val="22"/>
        </w:rPr>
        <w:t xml:space="preserve"> · Control territorial y dirección de la actividad de ejecución</w:t>
      </w:r>
    </w:p>
    <w:p>
      <w:pPr>
        <w:spacing w:after="120"/>
        <w:jc w:val="both"/>
      </w:pPr>
      <w:r>
        <w:rPr>
          <w:sz w:val="22"/>
          <w:szCs w:val="22"/>
        </w:rPr>
        <w:t xml:space="preserve">(Control territorial y dirección de la actividad de ejecución).- El control y dirección de la actividad será público y comprende: la determinación de la forma de gestión, sus plazos y fuentes de financiamiento, la delimitación de los perímetros de actuación y la observación del cumplimiento de las obligaciones de compensación de cargas y beneficios y retorno de valorizaciones.</w:t>
      </w:r>
    </w:p>
    <w:p>
      <w:pPr>
        <w:spacing w:after="120"/>
        <w:jc w:val="both"/>
      </w:pPr>
      <w:r>
        <w:rPr>
          <w:sz w:val="22"/>
          <w:szCs w:val="22"/>
        </w:rPr>
        <w:t xml:space="preserve">Se fomentará el desarrollo de la actividad de ejecución por iniciativa privada para el cumplimiento de los objetivos de los instrumentos de ordenamiento territorial.</w:t>
      </w:r>
    </w:p>
    <w:p>
      <w:pPr>
        <w:spacing w:after="120"/>
        <w:jc w:val="both"/>
      </w:pPr>
      <w:r>
        <w:rPr>
          <w:sz w:val="22"/>
          <w:szCs w:val="22"/>
        </w:rPr>
        <w:t xml:space="preserve">El inicio de la actividad de ejecución requerirá la aprobación del instrumento de ordenamiento territorial correspondiente. No obstante, la ejecución de las redes básicas de uso público podrá realizarse en forma anticipada previa declaración de urgencia.</w:t>
      </w:r>
    </w:p>
    <w:p>
      <w:pPr>
        <w:pStyle w:val="Articulo"/>
        <w:keepNext/>
        <w:spacing w:after="120" w:before="280"/>
      </w:pPr>
      <w:r>
        <w:rPr>
          <w:rFonts w:ascii="Arial" w:cs="Arial" w:eastAsia="Arial" w:hAnsi="Arial"/>
          <w:b/>
          <w:bCs/>
          <w:color w:val="14213D"/>
          <w:sz w:val="22"/>
          <w:szCs w:val="22"/>
        </w:rPr>
        <w:t xml:space="preserve">Artículo 55</w:t>
      </w:r>
      <w:r>
        <w:rPr>
          <w:rFonts w:ascii="Arial" w:cs="Arial" w:eastAsia="Arial" w:hAnsi="Arial"/>
          <w:color w:val="555555"/>
          <w:sz w:val="22"/>
          <w:szCs w:val="22"/>
        </w:rPr>
        <w:t xml:space="preserve"> · Regímenes de gestión de suelo</w:t>
      </w:r>
    </w:p>
    <w:p>
      <w:pPr>
        <w:spacing w:after="120"/>
        <w:jc w:val="both"/>
      </w:pPr>
      <w:r>
        <w:rPr>
          <w:sz w:val="22"/>
          <w:szCs w:val="22"/>
        </w:rPr>
        <w:t xml:space="preserve">(Regímenes de gestión de suelo).- Se podrán establecer regímenes de gestión de suelo definidos como el conjunto de modalidades operativas contenidas en los instrumentos de ordenamiento territorial para regular las intervenciones de las entidades públicas y de los particulares sobre el territorio.</w:t>
      </w:r>
    </w:p>
    <w:p>
      <w:pPr>
        <w:pStyle w:val="Articulo"/>
        <w:keepNext/>
        <w:spacing w:after="120" w:before="280"/>
      </w:pPr>
      <w:r>
        <w:rPr>
          <w:rFonts w:ascii="Arial" w:cs="Arial" w:eastAsia="Arial" w:hAnsi="Arial"/>
          <w:b/>
          <w:bCs/>
          <w:color w:val="14213D"/>
          <w:sz w:val="22"/>
          <w:szCs w:val="22"/>
        </w:rPr>
        <w:t xml:space="preserve">Artículo 56</w:t>
      </w:r>
      <w:r>
        <w:rPr>
          <w:rFonts w:ascii="Arial" w:cs="Arial" w:eastAsia="Arial" w:hAnsi="Arial"/>
          <w:color w:val="555555"/>
          <w:sz w:val="22"/>
          <w:szCs w:val="22"/>
        </w:rPr>
        <w:t xml:space="preserve"> · Perímetros de Actuación</w:t>
      </w:r>
    </w:p>
    <w:p>
      <w:pPr>
        <w:spacing w:after="120"/>
        <w:jc w:val="both"/>
      </w:pPr>
      <w:r>
        <w:rPr>
          <w:sz w:val="22"/>
          <w:szCs w:val="22"/>
        </w:rPr>
        <w:t xml:space="preserve">(Perímetros de Actuación).- El perímetro de actuación constituye un ámbito de gestión de un instrumento de ordenamiento territorial, en una superficie delimitada en el suelo categoría potencialmente transformable, o urbano no consolidado, para ejecutar las previsiones del mismo y efectuar el cumplimiento de los deberes territoriales de cesión, equidistribución de cargas y beneficios y retorno de las mayores valorizaciones.</w:t>
      </w:r>
    </w:p>
    <w:p>
      <w:pPr>
        <w:spacing w:after="120"/>
        <w:jc w:val="both"/>
      </w:pPr>
      <w:r>
        <w:rPr>
          <w:sz w:val="22"/>
          <w:szCs w:val="22"/>
        </w:rPr>
        <w:t xml:space="preserve">La delimitación de un perímetro de actuación podrá traer aparejada la suspensión de otorgamiento de permisos de construcción hasta tanto no se aprueben los respectivos proyectos de urbanización y reparcelación en su caso.</w:t>
      </w:r>
    </w:p>
    <w:p>
      <w:pPr>
        <w:pStyle w:val="Articulo"/>
        <w:keepNext/>
        <w:spacing w:after="120" w:before="280"/>
      </w:pPr>
      <w:r>
        <w:rPr>
          <w:rFonts w:ascii="Arial" w:cs="Arial" w:eastAsia="Arial" w:hAnsi="Arial"/>
          <w:b/>
          <w:bCs/>
          <w:color w:val="14213D"/>
          <w:sz w:val="22"/>
          <w:szCs w:val="22"/>
        </w:rPr>
        <w:t xml:space="preserve">Artículo 57</w:t>
      </w:r>
      <w:r>
        <w:rPr>
          <w:rFonts w:ascii="Arial" w:cs="Arial" w:eastAsia="Arial" w:hAnsi="Arial"/>
          <w:color w:val="555555"/>
          <w:sz w:val="22"/>
          <w:szCs w:val="22"/>
        </w:rPr>
        <w:t xml:space="preserve"> · Sistemas de gestión de los Perímetros de Actuación</w:t>
      </w:r>
    </w:p>
    <w:p>
      <w:pPr>
        <w:spacing w:after="120"/>
        <w:jc w:val="both"/>
      </w:pPr>
      <w:r>
        <w:rPr>
          <w:sz w:val="22"/>
          <w:szCs w:val="22"/>
        </w:rPr>
        <w:t xml:space="preserve">(Sistemas de gestión de los Perímetros de Actuación).- Los perímetros de actuación se desarrollarán por alguno de los siguientes sistemas de gestión:</w:t>
      </w:r>
    </w:p>
    <w:p>
      <w:pPr>
        <w:spacing w:after="120"/>
        <w:ind w:left="567"/>
        <w:jc w:val="both"/>
      </w:pPr>
      <w:r>
        <w:rPr>
          <w:sz w:val="22"/>
          <w:szCs w:val="22"/>
        </w:rPr>
        <w:t xml:space="preserve">a) Por iniciativa privada directa, constituyéndose una entidad privada</w:t>
      </w:r>
    </w:p>
    <w:p>
      <w:pPr>
        <w:spacing w:after="120"/>
        <w:jc w:val="both"/>
      </w:pPr>
      <w:r>
        <w:rPr>
          <w:sz w:val="22"/>
          <w:szCs w:val="22"/>
        </w:rPr>
        <w:t xml:space="preserve">para los fines de ejecución o por convenio de gestión entre los</w:t>
      </w:r>
    </w:p>
    <w:p>
      <w:pPr>
        <w:spacing w:after="120"/>
        <w:jc w:val="both"/>
      </w:pPr>
      <w:r>
        <w:rPr>
          <w:sz w:val="22"/>
          <w:szCs w:val="22"/>
        </w:rPr>
        <w:t xml:space="preserve">titulares de los terrenos.</w:t>
      </w:r>
    </w:p>
    <w:p>
      <w:pPr>
        <w:spacing w:after="120"/>
        <w:ind w:left="567"/>
        <w:jc w:val="both"/>
      </w:pPr>
      <w:r>
        <w:rPr>
          <w:sz w:val="22"/>
          <w:szCs w:val="22"/>
        </w:rPr>
        <w:t xml:space="preserve">b) Por cooperación público-privada, mediante la suscripción del</w:t>
      </w:r>
    </w:p>
    <w:p>
      <w:pPr>
        <w:spacing w:after="120"/>
        <w:jc w:val="both"/>
      </w:pPr>
      <w:r>
        <w:rPr>
          <w:sz w:val="22"/>
          <w:szCs w:val="22"/>
        </w:rPr>
        <w:t xml:space="preserve">correspondiente instrumento.</w:t>
      </w:r>
    </w:p>
    <w:p>
      <w:pPr>
        <w:spacing w:after="120"/>
        <w:ind w:left="567"/>
        <w:jc w:val="both"/>
      </w:pPr>
      <w:r>
        <w:rPr>
          <w:sz w:val="22"/>
          <w:szCs w:val="22"/>
        </w:rPr>
        <w:t xml:space="preserve">c) Por iniciativa pública, expropiando la Administración la totalidad</w:t>
      </w:r>
    </w:p>
    <w:p>
      <w:pPr>
        <w:spacing w:after="120"/>
        <w:jc w:val="both"/>
      </w:pPr>
      <w:r>
        <w:rPr>
          <w:sz w:val="22"/>
          <w:szCs w:val="22"/>
        </w:rPr>
        <w:t xml:space="preserve">de los bienes necesarios.</w:t>
      </w:r>
    </w:p>
    <w:p>
      <w:pPr>
        <w:pStyle w:val="Articulo"/>
        <w:keepNext/>
        <w:spacing w:after="120" w:before="280"/>
      </w:pPr>
      <w:r>
        <w:rPr>
          <w:rFonts w:ascii="Arial" w:cs="Arial" w:eastAsia="Arial" w:hAnsi="Arial"/>
          <w:b/>
          <w:bCs/>
          <w:color w:val="14213D"/>
          <w:sz w:val="22"/>
          <w:szCs w:val="22"/>
        </w:rPr>
        <w:t xml:space="preserve">Artículo 58</w:t>
      </w:r>
      <w:r>
        <w:rPr>
          <w:rFonts w:ascii="Arial" w:cs="Arial" w:eastAsia="Arial" w:hAnsi="Arial"/>
          <w:color w:val="555555"/>
          <w:sz w:val="22"/>
          <w:szCs w:val="22"/>
        </w:rPr>
        <w:t xml:space="preserve"> · Proyectos de urbanización y de reparcelación</w:t>
      </w:r>
    </w:p>
    <w:p>
      <w:pPr>
        <w:spacing w:after="120"/>
        <w:jc w:val="both"/>
      </w:pPr>
      <w:r>
        <w:rPr>
          <w:sz w:val="22"/>
          <w:szCs w:val="22"/>
        </w:rPr>
        <w:t xml:space="preserve">(Proyectos de urbanización y de reparcelación).- Los proyectos de urbanización y reparcelación serán aprobados por la Intendencia Municipal conforme al procedimiento que defina la Ordenanza Departamental.</w:t>
      </w:r>
    </w:p>
    <w:p>
      <w:pPr>
        <w:spacing w:after="120"/>
        <w:jc w:val="both"/>
      </w:pPr>
      <w:r>
        <w:rPr>
          <w:sz w:val="22"/>
          <w:szCs w:val="22"/>
        </w:rPr>
        <w:t xml:space="preserve">El proyecto de reparcelación integra el conjunto de predios comprendidos en un perímetro de actuación definiendo las parcelas resultantes, así como la adjudicación de las mismas a los propietarios en proporción a sus respectivos derechos y a la Intendencia Municipal, en la parte que le corresponde conforme a la presente ley y al instrumento de ordenamiento territorial.</w:t>
      </w:r>
    </w:p>
    <w:p>
      <w:pPr>
        <w:spacing w:after="120"/>
        <w:jc w:val="both"/>
      </w:pPr>
      <w:r>
        <w:rPr>
          <w:sz w:val="22"/>
          <w:szCs w:val="22"/>
        </w:rPr>
        <w:t xml:space="preserve">La reparcelación comprende también las compensaciones necesarias para asegurar la aplicación de la distribución de cargas y beneficios entre los interesados.</w:t>
      </w:r>
    </w:p>
    <w:p>
      <w:pPr>
        <w:pStyle w:val="Articulo"/>
        <w:keepNext/>
        <w:spacing w:after="120" w:before="280"/>
      </w:pPr>
      <w:r>
        <w:rPr>
          <w:rFonts w:ascii="Arial" w:cs="Arial" w:eastAsia="Arial" w:hAnsi="Arial"/>
          <w:b/>
          <w:bCs/>
          <w:color w:val="14213D"/>
          <w:sz w:val="22"/>
          <w:szCs w:val="22"/>
        </w:rPr>
        <w:t xml:space="preserve">Artículo 59</w:t>
      </w:r>
      <w:r>
        <w:rPr>
          <w:rFonts w:ascii="Arial" w:cs="Arial" w:eastAsia="Arial" w:hAnsi="Arial"/>
          <w:color w:val="555555"/>
          <w:sz w:val="22"/>
          <w:szCs w:val="22"/>
        </w:rPr>
        <w:t xml:space="preserve"> · Operaciones territoriales concertadas. Cooperación público-privada</w:t>
      </w:r>
    </w:p>
    <w:p>
      <w:pPr>
        <w:spacing w:after="120"/>
        <w:jc w:val="both"/>
      </w:pPr>
      <w:r>
        <w:rPr>
          <w:sz w:val="22"/>
          <w:szCs w:val="22"/>
        </w:rPr>
        <w:t xml:space="preserve">(Operaciones territoriales concertadas. Cooperación público-privada).- Los instrumentos de ordenamiento territorial podrán disponer condiciones y localizaciones en que se estimularán operaciones territoriales concertadas conducidas por la Administración, con la participación de los propietarios inmobiliarios, los vecinos, los usuarios regulares de la zona, inversionistas privados o el Estado, con el objeto de alcanzar para un área determinada, transformaciones territoriales, mejoras sociales, desarrollo productivo o elevación de la calidad ambiental.</w:t>
      </w:r>
    </w:p>
    <w:p>
      <w:pPr>
        <w:spacing w:after="120"/>
        <w:jc w:val="both"/>
      </w:pPr>
      <w:r>
        <w:rPr>
          <w:sz w:val="22"/>
          <w:szCs w:val="22"/>
        </w:rPr>
        <w:t xml:space="preserve">A iniciativa del Poder Ejecutivo o de uno o más Gobiernos Departamentales y también a propuesta de personas o entidades privadas, podrán constituirse sociedades comerciales de economía mixta cuyo objeto sea la urbanización, la construcción de viviendas u obras de infraestructura turísticas, industriales, comerciales o de servicios, así como cualquier obra de infraestructura o equipamiento prevista en un instrumento de ordenamiento territorial, incluyendo su gestión y explotación de conformidad con la legislación aplicable.</w:t>
      </w:r>
    </w:p>
    <w:p>
      <w:pPr>
        <w:pStyle w:val="Articulo"/>
        <w:keepNext/>
        <w:spacing w:after="120" w:before="280"/>
      </w:pPr>
      <w:r>
        <w:rPr>
          <w:rFonts w:ascii="Arial" w:cs="Arial" w:eastAsia="Arial" w:hAnsi="Arial"/>
          <w:b/>
          <w:bCs/>
          <w:color w:val="14213D"/>
          <w:sz w:val="22"/>
          <w:szCs w:val="22"/>
        </w:rPr>
        <w:t xml:space="preserve">Artículo 60</w:t>
      </w:r>
      <w:r>
        <w:rPr>
          <w:rFonts w:ascii="Arial" w:cs="Arial" w:eastAsia="Arial" w:hAnsi="Arial"/>
          <w:color w:val="555555"/>
          <w:sz w:val="22"/>
          <w:szCs w:val="22"/>
        </w:rPr>
        <w:t xml:space="preserve"> · Mayores aprovechamientos</w:t>
      </w:r>
    </w:p>
    <w:p>
      <w:pPr>
        <w:spacing w:after="120"/>
        <w:jc w:val="both"/>
      </w:pPr>
      <w:r>
        <w:rPr>
          <w:sz w:val="22"/>
          <w:szCs w:val="22"/>
        </w:rPr>
        <w:t xml:space="preserve">(Mayores aprovechamientos).- Los instrumentos de ordenamiento territorial podrán admitir modificaciones de uso del suelo mediante el otorgamiento de contrapartida a cargo del beneficiado.</w:t>
      </w:r>
    </w:p>
    <w:p>
      <w:pPr>
        <w:spacing w:after="120"/>
        <w:jc w:val="both"/>
      </w:pPr>
      <w:r>
        <w:rPr>
          <w:sz w:val="22"/>
          <w:szCs w:val="22"/>
        </w:rPr>
        <w:t xml:space="preserve">En el marco de las disposiciones de los instrumentos de ordenamiento territorial, se podrán constituir áreas y condiciones en las cuales el derecho de construir pueda ejercerse por encima del coeficiente de aprovechamiento básico establecido, mediante el otorgamiento de una contrapartida por parte del propietario inmobiliario beneficiado.</w:t>
      </w:r>
    </w:p>
    <w:p>
      <w:pPr>
        <w:spacing w:after="120"/>
        <w:jc w:val="both"/>
      </w:pPr>
      <w:r>
        <w:rPr>
          <w:sz w:val="22"/>
          <w:szCs w:val="22"/>
        </w:rPr>
        <w:t xml:space="preserve">También se podrá ejercer el derecho de construir en otro lugar, o enajenar este derecho, cuando el inmueble original se encuentre afectado por normativa de preservación patrimonial, paisajística o ambiental. La contrapartida, podrá alcanzar hasta el cincuenta por ciento del mayor valor resultante.</w:t>
      </w:r>
    </w:p>
    <w:p>
      <w:pPr>
        <w:pStyle w:val="Articulo"/>
        <w:keepNext/>
        <w:spacing w:after="120" w:before="280"/>
      </w:pPr>
      <w:r>
        <w:rPr>
          <w:rFonts w:ascii="Arial" w:cs="Arial" w:eastAsia="Arial" w:hAnsi="Arial"/>
          <w:b/>
          <w:bCs/>
          <w:color w:val="14213D"/>
          <w:sz w:val="22"/>
          <w:szCs w:val="22"/>
        </w:rPr>
        <w:t xml:space="preserve">Artículo 61</w:t>
      </w:r>
      <w:r>
        <w:rPr>
          <w:rFonts w:ascii="Arial" w:cs="Arial" w:eastAsia="Arial" w:hAnsi="Arial"/>
          <w:color w:val="555555"/>
          <w:sz w:val="22"/>
          <w:szCs w:val="22"/>
        </w:rPr>
        <w:t xml:space="preserve"> · Fraccionamiento, edificación o utilización obligatorias</w:t>
      </w:r>
    </w:p>
    <w:p>
      <w:pPr>
        <w:spacing w:after="120"/>
        <w:jc w:val="both"/>
      </w:pPr>
      <w:r>
        <w:rPr>
          <w:sz w:val="22"/>
          <w:szCs w:val="22"/>
        </w:rPr>
        <w:t xml:space="preserve">(Fraccionamiento, edificación o utilización obligatorias).- Los instrumentos de ordenamiento territorial podrán establecer, para perímetros de actuación en los territorios comprendidos en éstos, la obligación de parcelamiento, edificación o utilización de suelo no utilizado, subutilizado o no edificado, debiendo fijar las condiciones y los plazos para la implementación de dicha obligación. El incumplimiento configurará falta a los deberes territoriales. El propietario afectado podrá requerir de la Administración la instrumentación de una operación territorial concertada con ésta como forma de viabilización financiera de su obligación y de relevar su incumplimiento.</w:t>
      </w:r>
    </w:p>
    <w:p>
      <w:pPr>
        <w:pStyle w:val="Articulo"/>
        <w:keepNext/>
        <w:spacing w:after="120" w:before="280"/>
      </w:pPr>
      <w:r>
        <w:rPr>
          <w:rFonts w:ascii="Arial" w:cs="Arial" w:eastAsia="Arial" w:hAnsi="Arial"/>
          <w:b/>
          <w:bCs/>
          <w:color w:val="14213D"/>
          <w:sz w:val="22"/>
          <w:szCs w:val="22"/>
        </w:rPr>
        <w:t xml:space="preserve">Artículo 62</w:t>
      </w:r>
      <w:r>
        <w:rPr>
          <w:rFonts w:ascii="Arial" w:cs="Arial" w:eastAsia="Arial" w:hAnsi="Arial"/>
          <w:color w:val="555555"/>
          <w:sz w:val="22"/>
          <w:szCs w:val="22"/>
        </w:rPr>
        <w:t xml:space="preserve"> · Inmuebles necesarios para el cumplimiento de los planes</w:t>
      </w:r>
    </w:p>
    <w:p>
      <w:pPr>
        <w:spacing w:after="120"/>
        <w:jc w:val="both"/>
      </w:pPr>
      <w:r>
        <w:rPr>
          <w:sz w:val="22"/>
          <w:szCs w:val="22"/>
        </w:rPr>
        <w:t xml:space="preserve">(Inmuebles necesarios para el cumplimiento de los planes).- Declárase de utilidad pública la expropiación por parte del Poder Ejecutivo o de los Gobiernos Departamentales de los bienes inmuebles necesarios para el cumplimiento de los instrumentos de ordenamiento territorial previstos en la presente ley, cuando prevean:</w:t>
      </w:r>
    </w:p>
    <w:p>
      <w:pPr>
        <w:spacing w:after="120"/>
        <w:ind w:left="567"/>
        <w:jc w:val="both"/>
      </w:pPr>
      <w:r>
        <w:rPr>
          <w:sz w:val="22"/>
          <w:szCs w:val="22"/>
        </w:rPr>
        <w:t xml:space="preserve">a) La ejecución de las redes territoriales de saneamiento, drenaje</w:t>
      </w:r>
    </w:p>
    <w:p>
      <w:pPr>
        <w:spacing w:after="120"/>
        <w:jc w:val="both"/>
      </w:pPr>
      <w:r>
        <w:rPr>
          <w:sz w:val="22"/>
          <w:szCs w:val="22"/>
        </w:rPr>
        <w:t xml:space="preserve">pluvial, abastecimiento, vialidad, espacios libres y equipamientos</w:t>
      </w:r>
    </w:p>
    <w:p>
      <w:pPr>
        <w:spacing w:after="120"/>
        <w:jc w:val="both"/>
      </w:pPr>
      <w:r>
        <w:rPr>
          <w:sz w:val="22"/>
          <w:szCs w:val="22"/>
        </w:rPr>
        <w:t xml:space="preserve">públicos previstas en los instrumentos.</w:t>
      </w:r>
    </w:p>
    <w:p>
      <w:pPr>
        <w:spacing w:after="120"/>
        <w:ind w:left="567"/>
        <w:jc w:val="both"/>
      </w:pPr>
      <w:r>
        <w:rPr>
          <w:sz w:val="22"/>
          <w:szCs w:val="22"/>
        </w:rPr>
        <w:t xml:space="preserve">b) La ejecución de perímetros de actuación dirigida a la construcción</w:t>
      </w:r>
    </w:p>
    <w:p>
      <w:pPr>
        <w:spacing w:after="120"/>
        <w:jc w:val="both"/>
      </w:pPr>
      <w:r>
        <w:rPr>
          <w:sz w:val="22"/>
          <w:szCs w:val="22"/>
        </w:rPr>
        <w:t xml:space="preserve">de viviendas de interés social.</w:t>
      </w:r>
    </w:p>
    <w:p>
      <w:pPr>
        <w:spacing w:after="120"/>
        <w:ind w:left="567"/>
        <w:jc w:val="both"/>
      </w:pPr>
      <w:r>
        <w:rPr>
          <w:sz w:val="22"/>
          <w:szCs w:val="22"/>
        </w:rPr>
        <w:t xml:space="preserve">c) La ejecución de programas de protección o fomento productivo rural;</w:t>
      </w:r>
    </w:p>
    <w:p>
      <w:pPr>
        <w:spacing w:after="120"/>
        <w:jc w:val="both"/>
      </w:pPr>
      <w:r>
        <w:rPr>
          <w:sz w:val="22"/>
          <w:szCs w:val="22"/>
        </w:rPr>
        <w:t xml:space="preserve">renovación, rehabilitación, revitalización, consolidación, mejoramiento</w:t>
      </w:r>
    </w:p>
    <w:p>
      <w:pPr>
        <w:spacing w:after="120"/>
        <w:jc w:val="both"/>
      </w:pPr>
      <w:r>
        <w:rPr>
          <w:sz w:val="22"/>
          <w:szCs w:val="22"/>
        </w:rPr>
        <w:t xml:space="preserve">o expansión urbana; conservación ambiental y de los recursos naturales</w:t>
      </w:r>
    </w:p>
    <w:p>
      <w:pPr>
        <w:spacing w:after="120"/>
        <w:jc w:val="both"/>
      </w:pPr>
      <w:r>
        <w:rPr>
          <w:sz w:val="22"/>
          <w:szCs w:val="22"/>
        </w:rPr>
        <w:t xml:space="preserve">o el paisaje y otras similares.</w:t>
      </w:r>
    </w:p>
    <w:p>
      <w:pPr>
        <w:spacing w:after="120"/>
        <w:jc w:val="both"/>
      </w:pPr>
      <w:r>
        <w:rPr>
          <w:sz w:val="22"/>
          <w:szCs w:val="22"/>
        </w:rPr>
        <w:t xml:space="preserve">En las áreas del territorio en que la existencia de fraccionamientos sin urbanización consolidada dificulte la recaudación departamental o constituya un freno significativo al desarrollo o conservación, las entidades responsables del ordenamiento territorial podrán iniciar acciones específicas para la regularización jurídica de la propiedad y la reparcelación de dichos fraccionamientos para el cumplimiento de los objetivos que establezcan los correspondientes instrumentos de ordenamiento territorial. Se podrá proceder, en estos casos, mediante el procedimiento de gestión y tasación conjunta.</w:t>
      </w:r>
    </w:p>
    <w:p>
      <w:pPr>
        <w:spacing w:after="120"/>
        <w:jc w:val="both"/>
      </w:pPr>
      <w:r>
        <w:rPr>
          <w:sz w:val="22"/>
          <w:szCs w:val="22"/>
        </w:rPr>
        <w:t xml:space="preserve">En caso que el inmueble registre deudas con el Estado, el respectivo monto adeudado se compensará con el valor de tasación que se efectúe dentro del proceso de expropiación y a los efectos de la toma urgente de posesión, conforme establezca la reglamentación.</w:t>
      </w:r>
    </w:p>
    <w:p>
      <w:pPr>
        <w:spacing w:after="120"/>
        <w:jc w:val="both"/>
      </w:pPr>
      <w:r>
        <w:rPr>
          <w:sz w:val="22"/>
          <w:szCs w:val="22"/>
        </w:rPr>
        <w:t xml:space="preserve">En caso que la compensación sea parcial, el ente estatal podrá depositar la diferencia, documentando judicialmente la existencia del adeudo fiscal de acuerdo a las normas respectivas.</w:t>
      </w:r>
    </w:p>
    <w:p>
      <w:pPr>
        <w:pStyle w:val="Articulo"/>
        <w:keepNext/>
        <w:spacing w:after="120" w:before="280"/>
      </w:pPr>
      <w:r>
        <w:rPr>
          <w:rFonts w:ascii="Arial" w:cs="Arial" w:eastAsia="Arial" w:hAnsi="Arial"/>
          <w:b/>
          <w:bCs/>
          <w:color w:val="14213D"/>
          <w:sz w:val="22"/>
          <w:szCs w:val="22"/>
        </w:rPr>
        <w:t xml:space="preserve">Artículo 63</w:t>
      </w:r>
      <w:r>
        <w:rPr>
          <w:rFonts w:ascii="Arial" w:cs="Arial" w:eastAsia="Arial" w:hAnsi="Arial"/>
          <w:color w:val="555555"/>
          <w:sz w:val="22"/>
          <w:szCs w:val="22"/>
        </w:rPr>
        <w:t xml:space="preserve"> · Expropiación por incumplimiento de deberes territoriales</w:t>
      </w:r>
    </w:p>
    <w:p>
      <w:pPr>
        <w:spacing w:after="120"/>
        <w:jc w:val="both"/>
      </w:pPr>
      <w:r>
        <w:rPr>
          <w:sz w:val="22"/>
          <w:szCs w:val="22"/>
        </w:rPr>
        <w:t xml:space="preserve">(Expropiación por incumplimiento de deberes territoriales).- Se declara de utilidad pública la expropiación por la Administración de los inmuebles en estado de abandono que teniendo potencialidades productivas o de utilidad social, no hayan sido explotados por más de diez años, a efectos de integrar las carteras de tierras.</w:t>
      </w:r>
    </w:p>
    <w:p>
      <w:pPr>
        <w:pStyle w:val="Articulo"/>
        <w:keepNext/>
        <w:spacing w:after="120" w:before="280"/>
      </w:pPr>
      <w:r>
        <w:rPr>
          <w:rFonts w:ascii="Arial" w:cs="Arial" w:eastAsia="Arial" w:hAnsi="Arial"/>
          <w:b/>
          <w:bCs/>
          <w:color w:val="14213D"/>
          <w:sz w:val="22"/>
          <w:szCs w:val="22"/>
        </w:rPr>
        <w:t xml:space="preserve">Artículo 64</w:t>
      </w:r>
      <w:r>
        <w:rPr>
          <w:rFonts w:ascii="Arial" w:cs="Arial" w:eastAsia="Arial" w:hAnsi="Arial"/>
          <w:color w:val="555555"/>
          <w:sz w:val="22"/>
          <w:szCs w:val="22"/>
        </w:rPr>
        <w:t xml:space="preserve"> · Valoración</w:t>
      </w:r>
    </w:p>
    <w:p>
      <w:pPr>
        <w:spacing w:after="120"/>
        <w:jc w:val="both"/>
      </w:pPr>
      <w:r>
        <w:rPr>
          <w:sz w:val="22"/>
          <w:szCs w:val="22"/>
        </w:rPr>
        <w:t xml:space="preserve">(Valoración).- A los efectos de establecer el monto de la indemnización, no se incorporará a la misma los beneficios que se deriven de la ejecución del instrumento respectivo.</w:t>
      </w:r>
    </w:p>
    <w:p>
      <w:pPr>
        <w:pStyle w:val="Articulo"/>
        <w:keepNext/>
        <w:spacing w:after="120" w:before="280"/>
      </w:pPr>
      <w:r>
        <w:rPr>
          <w:rFonts w:ascii="Arial" w:cs="Arial" w:eastAsia="Arial" w:hAnsi="Arial"/>
          <w:b/>
          <w:bCs/>
          <w:color w:val="14213D"/>
          <w:sz w:val="22"/>
          <w:szCs w:val="22"/>
        </w:rPr>
        <w:t xml:space="preserve">Artículo 65</w:t>
      </w:r>
    </w:p>
    <w:p>
      <w:pPr>
        <w:spacing w:after="120"/>
        <w:jc w:val="both"/>
      </w:pPr>
      <w:r>
        <w:rPr>
          <w:sz w:val="22"/>
          <w:szCs w:val="22"/>
        </w:rPr>
        <w:t xml:space="preserve">Aquellas personas cuyo núcleo familiar se encuentre en situación de precariedad habitacional, de acuerdo con los criterios establecidos por el Ministerio de Vivienda, Ordenamiento Territorial y Medio Ambiente, no siendo propietarias de inmuebles, sean poseedoras de un predio, no público ni fiscal, con aptitud de ser urbanizado, destinado a su vivienda y la de su núcleo familiar durante un período de cinco años, podrán solicitar a la Sede Judicial competente se declare la adquisición del dominio sobre el mismo por el modo prescripción. La posesión deberá ser ininterrumpida y con ánimo de dueño, pública y no resistida por el propietario.</w:t>
      </w:r>
    </w:p>
    <w:p>
      <w:pPr>
        <w:spacing w:after="120"/>
        <w:jc w:val="both"/>
      </w:pPr>
      <w:r>
        <w:rPr>
          <w:sz w:val="22"/>
          <w:szCs w:val="22"/>
        </w:rPr>
        <w:t xml:space="preserve">Podrán adquirirse a través de las disposiciones de este artículo, predios o edificios con una superficie habitable necesaria para cumplir el fin habitacional básico conforme a los criterios dispuestos por los artículos 12, 14, 18 literal A) y 19 de la Ley N° 13.728, de 17 de diciembre de 1968, hasta un máximo de trescientos metros cuadrados.</w:t>
      </w:r>
    </w:p>
    <w:p>
      <w:pPr>
        <w:spacing w:after="120"/>
        <w:jc w:val="both"/>
      </w:pPr>
      <w:r>
        <w:rPr>
          <w:sz w:val="22"/>
          <w:szCs w:val="22"/>
        </w:rPr>
        <w:t xml:space="preserve">No se reconocerá este derecho más de una vez al mismo poseedor.</w:t>
      </w:r>
    </w:p>
    <w:p>
      <w:pPr>
        <w:spacing w:after="120"/>
        <w:jc w:val="both"/>
      </w:pPr>
      <w:r>
        <w:rPr>
          <w:sz w:val="22"/>
          <w:szCs w:val="22"/>
        </w:rPr>
        <w:t xml:space="preserve">Cuando el predio sea parte de un inmueble en que existan otros en similar situación, la prescripción adquisitiva podrá gestionarse colectivamente. En esta situación podrán considerarse colectivamente las áreas del territorio que determinen los instrumentos de ordenamiento territorial. Las áreas necesarias para las infraestructuras, servicios y espacios públicos prescribirán en favor de la Intendencia Municipal.</w:t>
      </w:r>
    </w:p>
    <w:p>
      <w:pPr>
        <w:spacing w:after="120"/>
        <w:jc w:val="both"/>
      </w:pPr>
      <w:r>
        <w:rPr>
          <w:sz w:val="22"/>
          <w:szCs w:val="22"/>
        </w:rPr>
        <w:t xml:space="preserve">La prescripción será declarada por el Juez competente a instancia de los beneficiados, a través del proceso judicial correspondiente el cual estará exonerado de toda tributación; a su vez, podrá ser opuesta como defensa o excepción en cualquier proceso judicial.</w:t>
      </w:r>
    </w:p>
    <w:p>
      <w:pPr>
        <w:spacing w:after="120"/>
        <w:jc w:val="both"/>
      </w:pPr>
      <w:r>
        <w:rPr>
          <w:sz w:val="22"/>
          <w:szCs w:val="22"/>
        </w:rPr>
        <w:t xml:space="preserve">En los litigios en aplicación de este instituto, quedará en suspenso toda otra acción, de petición o posesoria, que pueda llegar a interponerse con relación al inmueble.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19.661 de 21/09/2018 artículo </w:t>
      </w:r>
      <w:hyperlink w:history="1" r:id="rIdmvxmpgldbve6afv-rwtdv">
        <w:r>
          <w:rPr>
            <w:rStyle w:val="Hyperlink"/>
            <w:rFonts w:ascii="Arial" w:cs="Arial" w:eastAsia="Arial" w:hAnsi="Arial"/>
            <w:sz w:val="17"/>
            <w:szCs w:val="17"/>
          </w:rPr>
          <w:t xml:space="preserve">11</w:t>
        </w:r>
      </w:hyperlink>
      <w:r>
        <w:rPr>
          <w:rFonts w:ascii="Arial" w:cs="Arial" w:eastAsia="Arial" w:hAnsi="Arial"/>
          <w:color w:val="555555"/>
          <w:sz w:val="17"/>
          <w:szCs w:val="17"/>
        </w:rPr>
        <w:t xml:space="preserve">.
Inciso 2º) redacción dada anteriormente por: Ley Nº 19.149 de 24/10/2013 
artículo </w:t>
      </w:r>
      <w:hyperlink w:history="1" r:id="rIdjw2sj0rocmjqc0gkacxba">
        <w:r>
          <w:rPr>
            <w:rStyle w:val="Hyperlink"/>
            <w:rFonts w:ascii="Arial" w:cs="Arial" w:eastAsia="Arial" w:hAnsi="Arial"/>
            <w:sz w:val="17"/>
            <w:szCs w:val="17"/>
          </w:rPr>
          <w:t xml:space="preserve">285</w:t>
        </w:r>
      </w:hyperlink>
      <w:r>
        <w:rPr>
          <w:rFonts w:ascii="Arial" w:cs="Arial" w:eastAsia="Arial" w:hAnsi="Arial"/>
          <w:color w:val="555555"/>
          <w:sz w:val="17"/>
          <w:szCs w:val="17"/>
        </w:rPr>
        <w:t xml:space="preserve">.
Inciso 5º) redacción dada anteriormente por: Ley Nº 19.149 de 24/10/2013 
artículo </w:t>
      </w:r>
      <w:hyperlink w:history="1" r:id="rIdb6rr5biprbzackpqwur2t">
        <w:r>
          <w:rPr>
            <w:rStyle w:val="Hyperlink"/>
            <w:rFonts w:ascii="Arial" w:cs="Arial" w:eastAsia="Arial" w:hAnsi="Arial"/>
            <w:sz w:val="17"/>
            <w:szCs w:val="17"/>
          </w:rPr>
          <w:t xml:space="preserve">289</w:t>
        </w:r>
      </w:hyperlink>
      <w:r>
        <w:rPr>
          <w:rFonts w:ascii="Arial" w:cs="Arial" w:eastAsia="Arial" w:hAnsi="Arial"/>
          <w:color w:val="555555"/>
          <w:sz w:val="17"/>
          <w:szCs w:val="17"/>
        </w:rPr>
        <w:t xml:space="preserve">.
Reglamentado por: Decreto </w:t>
      </w:r>
      <w:hyperlink w:history="1" r:id="rIdzexhnvtvnfrqtsry1etok">
        <w:r>
          <w:rPr>
            <w:rStyle w:val="Hyperlink"/>
            <w:rFonts w:ascii="Arial" w:cs="Arial" w:eastAsia="Arial" w:hAnsi="Arial"/>
            <w:sz w:val="17"/>
            <w:szCs w:val="17"/>
          </w:rPr>
          <w:t xml:space="preserve">Nº 389/014</w:t>
        </w:r>
      </w:hyperlink>
      <w:r>
        <w:rPr>
          <w:rFonts w:ascii="Arial" w:cs="Arial" w:eastAsia="Arial" w:hAnsi="Arial"/>
          <w:color w:val="555555"/>
          <w:sz w:val="17"/>
          <w:szCs w:val="17"/>
        </w:rPr>
        <w:t xml:space="preserve"> de 29/12/2014.</w:t>
      </w:r>
    </w:p>
    <w:p>
      <w:pPr>
        <w:shd w:fill="F4F5F8" w:val="clear"/>
        <w:spacing w:after="60"/>
        <w:ind w:left="360"/>
      </w:pPr>
      <w:r>
        <w:rPr>
          <w:rFonts w:ascii="Arial" w:cs="Arial" w:eastAsia="Arial" w:hAnsi="Arial"/>
          <w:color w:val="555555"/>
          <w:sz w:val="17"/>
          <w:szCs w:val="17"/>
        </w:rPr>
        <w:t xml:space="preserve">TEXTO ORIGINAL:
 Ley Nº 19.149 de 24/10/2013 artículos </w:t>
      </w:r>
      <w:hyperlink w:history="1" r:id="rIdwfc4jjkgoio0wp6w2et-7">
        <w:r>
          <w:rPr>
            <w:rStyle w:val="Hyperlink"/>
            <w:rFonts w:ascii="Arial" w:cs="Arial" w:eastAsia="Arial" w:hAnsi="Arial"/>
            <w:sz w:val="17"/>
            <w:szCs w:val="17"/>
          </w:rPr>
          <w:t xml:space="preserve">285</w:t>
        </w:r>
      </w:hyperlink>
      <w:r>
        <w:rPr>
          <w:rFonts w:ascii="Arial" w:cs="Arial" w:eastAsia="Arial" w:hAnsi="Arial"/>
          <w:color w:val="555555"/>
          <w:sz w:val="17"/>
          <w:szCs w:val="17"/>
        </w:rPr>
        <w:t xml:space="preserve"> y </w:t>
      </w:r>
      <w:hyperlink w:history="1" r:id="rIdz5pcnqchebahr6zcqxtio">
        <w:r>
          <w:rPr>
            <w:rStyle w:val="Hyperlink"/>
            <w:rFonts w:ascii="Arial" w:cs="Arial" w:eastAsia="Arial" w:hAnsi="Arial"/>
            <w:sz w:val="17"/>
            <w:szCs w:val="17"/>
          </w:rPr>
          <w:t xml:space="preserve">289</w:t>
        </w:r>
      </w:hyperlink>
      <w:r>
        <w:rPr>
          <w:rFonts w:ascii="Arial" w:cs="Arial" w:eastAsia="Arial" w:hAnsi="Arial"/>
          <w:color w:val="555555"/>
          <w:sz w:val="17"/>
          <w:szCs w:val="17"/>
        </w:rPr>
        <w:t xml:space="preserve">,
 Ley Nº 18.308 de 18/06/2008 artículo </w:t>
      </w:r>
      <w:hyperlink w:history="1" r:id="rIdkbfxbzhdx01hjks8td5zp">
        <w:r>
          <w:rPr>
            <w:rStyle w:val="Hyperlink"/>
            <w:rFonts w:ascii="Arial" w:cs="Arial" w:eastAsia="Arial" w:hAnsi="Arial"/>
            <w:sz w:val="17"/>
            <w:szCs w:val="17"/>
          </w:rPr>
          <w:t xml:space="preserve">65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66</w:t>
      </w:r>
      <w:r>
        <w:rPr>
          <w:rFonts w:ascii="Arial" w:cs="Arial" w:eastAsia="Arial" w:hAnsi="Arial"/>
          <w:color w:val="555555"/>
          <w:sz w:val="22"/>
          <w:szCs w:val="22"/>
        </w:rPr>
        <w:t xml:space="preserve"> · Derecho de preferencia</w:t>
      </w:r>
    </w:p>
    <w:p>
      <w:pPr>
        <w:spacing w:after="120"/>
        <w:jc w:val="both"/>
      </w:pPr>
      <w:r>
        <w:rPr>
          <w:sz w:val="22"/>
          <w:szCs w:val="22"/>
        </w:rPr>
        <w:t xml:space="preserve">(Derecho de preferencia).- El Gobierno Departamental tendrá preferencia para la adquisición de inmuebles objeto de enajenación onerosa entre particulares en las áreas dispuestas específicamente por los instrumentos de ordenamiento territorial a excepción de lo dispuesto en la Ley Nº 11.029, de 12 de enero de 1948.</w:t>
      </w:r>
    </w:p>
    <w:p>
      <w:pPr>
        <w:pStyle w:val="Articulo"/>
        <w:keepNext/>
        <w:spacing w:after="120" w:before="280"/>
      </w:pPr>
      <w:r>
        <w:rPr>
          <w:rFonts w:ascii="Arial" w:cs="Arial" w:eastAsia="Arial" w:hAnsi="Arial"/>
          <w:b/>
          <w:bCs/>
          <w:color w:val="14213D"/>
          <w:sz w:val="22"/>
          <w:szCs w:val="22"/>
        </w:rPr>
        <w:t xml:space="preserve">Artículo 67</w:t>
      </w:r>
      <w:r>
        <w:rPr>
          <w:rFonts w:ascii="Arial" w:cs="Arial" w:eastAsia="Arial" w:hAnsi="Arial"/>
          <w:color w:val="555555"/>
          <w:sz w:val="22"/>
          <w:szCs w:val="22"/>
        </w:rPr>
        <w:t xml:space="preserve"> · Carteras de Tierras</w:t>
      </w:r>
    </w:p>
    <w:p>
      <w:pPr>
        <w:spacing w:after="120"/>
        <w:jc w:val="both"/>
      </w:pPr>
      <w:r>
        <w:rPr>
          <w:sz w:val="22"/>
          <w:szCs w:val="22"/>
        </w:rPr>
        <w:t xml:space="preserve">(Carteras de Tierras).- Los Gobiernos Departamentales podrán crear carteras de tierras para fines de ordenamiento territorial en el marco de sus instrumentos, reglamentando su destino y utilización en el marco de sus respectivas competencias.</w:t>
      </w:r>
    </w:p>
    <w:p>
      <w:pPr>
        <w:spacing w:after="120"/>
        <w:jc w:val="both"/>
      </w:pPr>
      <w:r>
        <w:rPr>
          <w:sz w:val="22"/>
          <w:szCs w:val="22"/>
        </w:rPr>
        <w:t xml:space="preserve">Los inmuebles afectados al Ministerio de Vivienda, Ordenamiento Territorial y Medio Ambiente (MVOTMA) constituirán la Cartera Nacional de Tierras, estando dicho Ministerio habilitado a cederlos, venderlos, permutarlos, y aún donarlos, en cumplimiento de los instrumentos de ordenamiento territorial previstos en la presente ley y demás legislación aplicable.</w:t>
      </w:r>
    </w:p>
    <w:p>
      <w:pPr>
        <w:pStyle w:val="Heading3"/>
      </w:pPr>
      <w:r>
        <w:t xml:space="preserve">CAPÍTULO II - CONTROL TERRITORIAL</w:t>
      </w:r>
    </w:p>
    <w:p>
      <w:pPr>
        <w:pStyle w:val="Articulo"/>
        <w:keepNext/>
        <w:spacing w:after="120" w:before="280"/>
      </w:pPr>
      <w:r>
        <w:rPr>
          <w:rFonts w:ascii="Arial" w:cs="Arial" w:eastAsia="Arial" w:hAnsi="Arial"/>
          <w:b/>
          <w:bCs/>
          <w:color w:val="14213D"/>
          <w:sz w:val="22"/>
          <w:szCs w:val="22"/>
        </w:rPr>
        <w:t xml:space="preserve">Artículo 68</w:t>
      </w:r>
      <w:r>
        <w:rPr>
          <w:rFonts w:ascii="Arial" w:cs="Arial" w:eastAsia="Arial" w:hAnsi="Arial"/>
          <w:color w:val="555555"/>
          <w:sz w:val="22"/>
          <w:szCs w:val="22"/>
        </w:rPr>
        <w:t xml:space="preserve"> · Policía territorial. Facultades disciplinarias</w:t>
      </w:r>
    </w:p>
    <w:p>
      <w:pPr>
        <w:spacing w:after="120"/>
        <w:jc w:val="both"/>
      </w:pPr>
      <w:r>
        <w:rPr>
          <w:sz w:val="22"/>
          <w:szCs w:val="22"/>
        </w:rPr>
        <w:t xml:space="preserve">(Policía territorial. Facultades disciplinarias).- Los Gobiernos Departamentales ejercerán la policía territorial mediante los instrumentos necesarios, a los efectos de identificar todas aquellas acciones, obras, fraccionamientos, loteos u operaciones de todo tipo realizadas en contravención de las normas aplicables y sancionar a los infractores.</w:t>
      </w:r>
    </w:p>
    <w:p>
      <w:pPr>
        <w:spacing w:after="120"/>
        <w:jc w:val="both"/>
      </w:pPr>
      <w:r>
        <w:rPr>
          <w:sz w:val="22"/>
          <w:szCs w:val="22"/>
        </w:rPr>
        <w:t xml:space="preserve">El Poder Ejecutivo y los Gobiernos Departamentales, en el ámbito de sus respectivas competencias, están facultados a prohibir, impedir la prosecución y demoler, a costa del propietario, toda obra efectuada en violación de los instrumentos de ordenamiento territorial. Asimismo, podrán disponer las inspecciones, pericias, pedidos de datos, intimaciones y demás, que sean necesarias para hacer cumplir los instrumentos de ordenamiento territorial.</w:t>
      </w:r>
    </w:p>
    <w:p>
      <w:pPr>
        <w:pStyle w:val="Articulo"/>
        <w:keepNext/>
        <w:spacing w:after="120" w:before="280"/>
      </w:pPr>
      <w:r>
        <w:rPr>
          <w:rFonts w:ascii="Arial" w:cs="Arial" w:eastAsia="Arial" w:hAnsi="Arial"/>
          <w:b/>
          <w:bCs/>
          <w:color w:val="14213D"/>
          <w:sz w:val="22"/>
          <w:szCs w:val="22"/>
        </w:rPr>
        <w:t xml:space="preserve">Artículo 69</w:t>
      </w:r>
      <w:r>
        <w:rPr>
          <w:rFonts w:ascii="Arial" w:cs="Arial" w:eastAsia="Arial" w:hAnsi="Arial"/>
          <w:color w:val="555555"/>
          <w:sz w:val="22"/>
          <w:szCs w:val="22"/>
        </w:rPr>
        <w:t xml:space="preserve"> · Facultad de policía territorial específica</w:t>
      </w:r>
    </w:p>
    <w:p>
      <w:pPr>
        <w:spacing w:after="120"/>
        <w:jc w:val="both"/>
      </w:pPr>
      <w:r>
        <w:rPr>
          <w:sz w:val="22"/>
          <w:szCs w:val="22"/>
        </w:rPr>
        <w:t xml:space="preserve">(Facultad de policía territorial específica).-</w:t>
      </w:r>
    </w:p>
    <w:p>
      <w:pPr>
        <w:spacing w:after="120"/>
        <w:jc w:val="both"/>
      </w:pPr>
      <w:r>
        <w:rPr>
          <w:sz w:val="22"/>
          <w:szCs w:val="22"/>
        </w:rPr>
        <w:t xml:space="preserve">69.1. (Potestad de las Intendencias Departamentales)</w:t>
      </w:r>
    </w:p>
    <w:p>
      <w:pPr>
        <w:spacing w:after="120"/>
        <w:jc w:val="both"/>
      </w:pPr>
      <w:r>
        <w:rPr>
          <w:sz w:val="22"/>
          <w:szCs w:val="22"/>
        </w:rPr>
        <w:t xml:space="preserve">Las Intendencias Departamentales, en el marco de sus poderes de</w:t>
      </w:r>
    </w:p>
    <w:p>
      <w:pPr>
        <w:spacing w:after="120"/>
        <w:jc w:val="both"/>
      </w:pPr>
      <w:r>
        <w:rPr>
          <w:sz w:val="22"/>
          <w:szCs w:val="22"/>
        </w:rPr>
        <w:t xml:space="preserve">policía territorial y de la edificación, deberán impedir la ocupación,</w:t>
      </w:r>
    </w:p>
    <w:p>
      <w:pPr>
        <w:spacing w:after="120"/>
        <w:jc w:val="both"/>
      </w:pPr>
      <w:r>
        <w:rPr>
          <w:sz w:val="22"/>
          <w:szCs w:val="22"/>
        </w:rPr>
        <w:t xml:space="preserve">construcción, loteo, fraccionamiento y toda operación destinada a</w:t>
      </w:r>
    </w:p>
    <w:p>
      <w:pPr>
        <w:spacing w:after="120"/>
        <w:jc w:val="both"/>
      </w:pPr>
      <w:r>
        <w:rPr>
          <w:sz w:val="22"/>
          <w:szCs w:val="22"/>
        </w:rPr>
        <w:t xml:space="preserve">consagrar soluciones habitacionales, que implique la violación de la</w:t>
      </w:r>
    </w:p>
    <w:p>
      <w:pPr>
        <w:spacing w:after="120"/>
        <w:jc w:val="both"/>
      </w:pPr>
      <w:r>
        <w:rPr>
          <w:sz w:val="22"/>
          <w:szCs w:val="22"/>
        </w:rPr>
        <w:t xml:space="preserve">legislación vigente en la materia o de los instrumentos de</w:t>
      </w:r>
    </w:p>
    <w:p>
      <w:pPr>
        <w:spacing w:after="120"/>
        <w:jc w:val="both"/>
      </w:pPr>
      <w:r>
        <w:rPr>
          <w:sz w:val="22"/>
          <w:szCs w:val="22"/>
        </w:rPr>
        <w:t xml:space="preserve">ordenamiento territorial, en los bienes inmuebles del dominio privado</w:t>
      </w:r>
    </w:p>
    <w:p>
      <w:pPr>
        <w:spacing w:after="120"/>
        <w:jc w:val="both"/>
      </w:pPr>
      <w:r>
        <w:rPr>
          <w:sz w:val="22"/>
          <w:szCs w:val="22"/>
        </w:rPr>
        <w:t xml:space="preserve">donde no pueda autorizarse la urbanización, fraccionamiento y</w:t>
      </w:r>
    </w:p>
    <w:p>
      <w:pPr>
        <w:spacing w:after="120"/>
        <w:jc w:val="both"/>
      </w:pPr>
      <w:r>
        <w:rPr>
          <w:sz w:val="22"/>
          <w:szCs w:val="22"/>
        </w:rPr>
        <w:t xml:space="preserve">edificación con destino habitacional, y en los bienes inmuebles del</w:t>
      </w:r>
    </w:p>
    <w:p>
      <w:pPr>
        <w:spacing w:after="120"/>
        <w:jc w:val="both"/>
      </w:pPr>
      <w:r>
        <w:rPr>
          <w:sz w:val="22"/>
          <w:szCs w:val="22"/>
        </w:rPr>
        <w:t xml:space="preserve">dominio público o fiscal.</w:t>
      </w:r>
    </w:p>
    <w:p>
      <w:pPr>
        <w:spacing w:after="120"/>
        <w:jc w:val="both"/>
      </w:pPr>
      <w:r>
        <w:rPr>
          <w:sz w:val="22"/>
          <w:szCs w:val="22"/>
        </w:rPr>
        <w:t xml:space="preserve">En todos los casos, las Intendencias Departamentales podrán recurrir</w:t>
      </w:r>
    </w:p>
    <w:p>
      <w:pPr>
        <w:spacing w:after="120"/>
        <w:jc w:val="both"/>
      </w:pPr>
      <w:r>
        <w:rPr>
          <w:sz w:val="22"/>
          <w:szCs w:val="22"/>
        </w:rPr>
        <w:t xml:space="preserve">al auxilio de la fuerza pública.</w:t>
      </w:r>
    </w:p>
    <w:p>
      <w:pPr>
        <w:spacing w:after="120"/>
        <w:jc w:val="both"/>
      </w:pPr>
      <w:r>
        <w:rPr>
          <w:sz w:val="22"/>
          <w:szCs w:val="22"/>
        </w:rPr>
        <w:t xml:space="preserve">69.2. (Acciones en bienes inmuebles de propiedad privada)</w:t>
      </w:r>
    </w:p>
    <w:p>
      <w:pPr>
        <w:spacing w:after="120"/>
        <w:jc w:val="both"/>
      </w:pPr>
      <w:r>
        <w:rPr>
          <w:sz w:val="22"/>
          <w:szCs w:val="22"/>
        </w:rPr>
        <w:t xml:space="preserve">Las Intendencias Departamentales promoverán las acciones judiciales</w:t>
      </w:r>
    </w:p>
    <w:p>
      <w:pPr>
        <w:spacing w:after="120"/>
        <w:jc w:val="both"/>
      </w:pPr>
      <w:r>
        <w:rPr>
          <w:sz w:val="22"/>
          <w:szCs w:val="22"/>
        </w:rPr>
        <w:t xml:space="preserve">pertinentes ante el Juzgado Letrado de Primera Instancia con</w:t>
      </w:r>
    </w:p>
    <w:p>
      <w:pPr>
        <w:spacing w:after="120"/>
        <w:jc w:val="both"/>
      </w:pPr>
      <w:r>
        <w:rPr>
          <w:sz w:val="22"/>
          <w:szCs w:val="22"/>
        </w:rPr>
        <w:t xml:space="preserve">competencia en materia civil una vez comprobada, en relación a los</w:t>
      </w:r>
    </w:p>
    <w:p>
      <w:pPr>
        <w:spacing w:after="120"/>
        <w:jc w:val="both"/>
      </w:pPr>
      <w:r>
        <w:rPr>
          <w:sz w:val="22"/>
          <w:szCs w:val="22"/>
        </w:rPr>
        <w:t xml:space="preserve">bienes inmuebles de propiedad privada, la existencia de los siguientes</w:t>
      </w:r>
    </w:p>
    <w:p>
      <w:pPr>
        <w:spacing w:after="120"/>
        <w:jc w:val="both"/>
      </w:pPr>
      <w:r>
        <w:rPr>
          <w:sz w:val="22"/>
          <w:szCs w:val="22"/>
        </w:rPr>
        <w:t xml:space="preserve">extremos:</w:t>
      </w:r>
    </w:p>
    <w:p>
      <w:pPr>
        <w:spacing w:after="120"/>
        <w:ind w:left="567"/>
        <w:jc w:val="both"/>
      </w:pPr>
      <w:r>
        <w:rPr>
          <w:sz w:val="22"/>
          <w:szCs w:val="22"/>
        </w:rPr>
        <w:t xml:space="preserve">A) La subdivisión o construcción en lotes en zona donde no pueda</w:t>
      </w:r>
    </w:p>
    <w:p>
      <w:pPr>
        <w:spacing w:after="120"/>
        <w:jc w:val="both"/>
      </w:pPr>
      <w:r>
        <w:rPr>
          <w:sz w:val="22"/>
          <w:szCs w:val="22"/>
        </w:rPr>
        <w:t xml:space="preserve">autorizarse.</w:t>
      </w:r>
    </w:p>
    <w:p>
      <w:pPr>
        <w:spacing w:after="120"/>
        <w:ind w:left="567"/>
        <w:jc w:val="both"/>
      </w:pPr>
      <w:r>
        <w:rPr>
          <w:sz w:val="22"/>
          <w:szCs w:val="22"/>
        </w:rPr>
        <w:t xml:space="preserve">B) La subdivisión o la construcción no autorizada, o ante la</w:t>
      </w:r>
    </w:p>
    <w:p>
      <w:pPr>
        <w:spacing w:after="120"/>
        <w:jc w:val="both"/>
      </w:pPr>
      <w:r>
        <w:rPr>
          <w:sz w:val="22"/>
          <w:szCs w:val="22"/>
        </w:rPr>
        <w:t xml:space="preserve">constatación de la existencia en zona no habilitada para tal fin o</w:t>
      </w:r>
    </w:p>
    <w:p>
      <w:pPr>
        <w:spacing w:after="120"/>
        <w:jc w:val="both"/>
      </w:pPr>
      <w:r>
        <w:rPr>
          <w:sz w:val="22"/>
          <w:szCs w:val="22"/>
        </w:rPr>
        <w:t xml:space="preserve">sin previa autorización, de fraccionamiento, loteo y</w:t>
      </w:r>
    </w:p>
    <w:p>
      <w:pPr>
        <w:spacing w:after="120"/>
        <w:jc w:val="both"/>
      </w:pPr>
      <w:r>
        <w:rPr>
          <w:sz w:val="22"/>
          <w:szCs w:val="22"/>
        </w:rPr>
        <w:t xml:space="preserve">construcciones.</w:t>
      </w:r>
    </w:p>
    <w:p>
      <w:pPr>
        <w:spacing w:after="120"/>
        <w:jc w:val="both"/>
      </w:pPr>
      <w:r>
        <w:rPr>
          <w:sz w:val="22"/>
          <w:szCs w:val="22"/>
        </w:rPr>
        <w:t xml:space="preserve">Interpuesta la demanda por parte de las Intendencias Departamentales,</w:t>
      </w:r>
    </w:p>
    <w:p>
      <w:pPr>
        <w:spacing w:after="120"/>
        <w:jc w:val="both"/>
      </w:pPr>
      <w:r>
        <w:rPr>
          <w:sz w:val="22"/>
          <w:szCs w:val="22"/>
        </w:rPr>
        <w:t xml:space="preserve">el Tribunal realizará el control liminar de la misma, verificará el</w:t>
      </w:r>
    </w:p>
    <w:p>
      <w:pPr>
        <w:spacing w:after="120"/>
        <w:jc w:val="both"/>
      </w:pPr>
      <w:r>
        <w:rPr>
          <w:sz w:val="22"/>
          <w:szCs w:val="22"/>
        </w:rPr>
        <w:t xml:space="preserve">cumplimiento de los extremos indicados en los literales A) o B) del</w:t>
      </w:r>
    </w:p>
    <w:p>
      <w:pPr>
        <w:spacing w:after="120"/>
        <w:jc w:val="both"/>
      </w:pPr>
      <w:r>
        <w:rPr>
          <w:sz w:val="22"/>
          <w:szCs w:val="22"/>
        </w:rPr>
        <w:t xml:space="preserve">presente numeral. Salvo que la demanda sea manifiestamente</w:t>
      </w:r>
    </w:p>
    <w:p>
      <w:pPr>
        <w:spacing w:after="120"/>
        <w:jc w:val="both"/>
      </w:pPr>
      <w:r>
        <w:rPr>
          <w:sz w:val="22"/>
          <w:szCs w:val="22"/>
        </w:rPr>
        <w:t xml:space="preserve">improcedente, el Tribunal actuante decretará en forma inmediata la</w:t>
      </w:r>
    </w:p>
    <w:p>
      <w:pPr>
        <w:spacing w:after="120"/>
        <w:jc w:val="both"/>
      </w:pPr>
      <w:r>
        <w:rPr>
          <w:sz w:val="22"/>
          <w:szCs w:val="22"/>
        </w:rPr>
        <w:t xml:space="preserve">suspensión de las obras no autorizadas ni aprobadas, el</w:t>
      </w:r>
    </w:p>
    <w:p>
      <w:pPr>
        <w:spacing w:after="120"/>
        <w:jc w:val="both"/>
      </w:pPr>
      <w:r>
        <w:rPr>
          <w:sz w:val="22"/>
          <w:szCs w:val="22"/>
        </w:rPr>
        <w:t xml:space="preserve">desapoderamiento del bien inmueble ocupado irregularmente y la</w:t>
      </w:r>
    </w:p>
    <w:p>
      <w:pPr>
        <w:spacing w:after="120"/>
        <w:jc w:val="both"/>
      </w:pPr>
      <w:r>
        <w:rPr>
          <w:sz w:val="22"/>
          <w:szCs w:val="22"/>
        </w:rPr>
        <w:t xml:space="preserve">demolición de todas las construcciones irregulares existentes, con</w:t>
      </w:r>
    </w:p>
    <w:p>
      <w:pPr>
        <w:spacing w:after="120"/>
        <w:jc w:val="both"/>
      </w:pPr>
      <w:r>
        <w:rPr>
          <w:sz w:val="22"/>
          <w:szCs w:val="22"/>
        </w:rPr>
        <w:t xml:space="preserve">plazo improrrogable de diez días hábiles.</w:t>
      </w:r>
    </w:p>
    <w:p>
      <w:pPr>
        <w:spacing w:after="120"/>
        <w:jc w:val="both"/>
      </w:pPr>
      <w:r>
        <w:rPr>
          <w:sz w:val="22"/>
          <w:szCs w:val="22"/>
        </w:rPr>
        <w:t xml:space="preserve">En la providencia judicial referida en el inciso anterior, el Tribunal</w:t>
      </w:r>
    </w:p>
    <w:p>
      <w:pPr>
        <w:spacing w:after="120"/>
        <w:jc w:val="both"/>
      </w:pPr>
      <w:r>
        <w:rPr>
          <w:sz w:val="22"/>
          <w:szCs w:val="22"/>
        </w:rPr>
        <w:t xml:space="preserve">emplazará al demandado a estar a derecho por el término de seis días</w:t>
      </w:r>
    </w:p>
    <w:p>
      <w:pPr>
        <w:spacing w:after="120"/>
        <w:jc w:val="both"/>
      </w:pPr>
      <w:r>
        <w:rPr>
          <w:sz w:val="22"/>
          <w:szCs w:val="22"/>
        </w:rPr>
        <w:t xml:space="preserve">hábiles, el que podrá oponer como únicas excepciones admisibles la</w:t>
      </w:r>
    </w:p>
    <w:p>
      <w:pPr>
        <w:spacing w:after="120"/>
        <w:jc w:val="both"/>
      </w:pPr>
      <w:r>
        <w:rPr>
          <w:sz w:val="22"/>
          <w:szCs w:val="22"/>
        </w:rPr>
        <w:t xml:space="preserve">falta de legitimación o la no configuración de los extremos previstos</w:t>
      </w:r>
    </w:p>
    <w:p>
      <w:pPr>
        <w:spacing w:after="120"/>
        <w:jc w:val="both"/>
      </w:pPr>
      <w:r>
        <w:rPr>
          <w:sz w:val="22"/>
          <w:szCs w:val="22"/>
        </w:rPr>
        <w:t xml:space="preserve">en los literales A) y B) del presente numeral.</w:t>
      </w:r>
    </w:p>
    <w:p>
      <w:pPr>
        <w:spacing w:after="120"/>
        <w:jc w:val="both"/>
      </w:pPr>
      <w:r>
        <w:rPr>
          <w:sz w:val="22"/>
          <w:szCs w:val="22"/>
        </w:rPr>
        <w:t xml:space="preserve">En caso de allanamiento a la pretensión o cuando el demandado no haya</w:t>
      </w:r>
    </w:p>
    <w:p>
      <w:pPr>
        <w:spacing w:after="120"/>
        <w:jc w:val="both"/>
      </w:pPr>
      <w:r>
        <w:rPr>
          <w:sz w:val="22"/>
          <w:szCs w:val="22"/>
        </w:rPr>
        <w:t xml:space="preserve">opuesto excepciones admisibles, se procederá al cumplimiento inmediato</w:t>
      </w:r>
    </w:p>
    <w:p>
      <w:pPr>
        <w:spacing w:after="120"/>
        <w:jc w:val="both"/>
      </w:pPr>
      <w:r>
        <w:rPr>
          <w:sz w:val="22"/>
          <w:szCs w:val="22"/>
        </w:rPr>
        <w:t xml:space="preserve">de la providencia inicial siendo los costos generados de cargo del</w:t>
      </w:r>
    </w:p>
    <w:p>
      <w:pPr>
        <w:spacing w:after="120"/>
        <w:jc w:val="both"/>
      </w:pPr>
      <w:r>
        <w:rPr>
          <w:sz w:val="22"/>
          <w:szCs w:val="22"/>
        </w:rPr>
        <w:t xml:space="preserve">propietario del bien inmueble, debiendo cometerse la diligencia</w:t>
      </w:r>
    </w:p>
    <w:p>
      <w:pPr>
        <w:spacing w:after="120"/>
        <w:jc w:val="both"/>
      </w:pPr>
      <w:r>
        <w:rPr>
          <w:sz w:val="22"/>
          <w:szCs w:val="22"/>
        </w:rPr>
        <w:t xml:space="preserve">correspondiente al Alguacil de la Sede Judicial con las más amplias</w:t>
      </w:r>
    </w:p>
    <w:p>
      <w:pPr>
        <w:spacing w:after="120"/>
        <w:jc w:val="both"/>
      </w:pPr>
      <w:r>
        <w:rPr>
          <w:sz w:val="22"/>
          <w:szCs w:val="22"/>
        </w:rPr>
        <w:t xml:space="preserve">facultades.</w:t>
      </w:r>
    </w:p>
    <w:p>
      <w:pPr>
        <w:spacing w:after="120"/>
        <w:jc w:val="both"/>
      </w:pPr>
      <w:r>
        <w:rPr>
          <w:sz w:val="22"/>
          <w:szCs w:val="22"/>
        </w:rPr>
        <w:t xml:space="preserve">Si se hubieren opuesto excepciones admisibles, el Tribunal convocará a</w:t>
      </w:r>
    </w:p>
    <w:p>
      <w:pPr>
        <w:spacing w:after="120"/>
        <w:jc w:val="both"/>
      </w:pPr>
      <w:r>
        <w:rPr>
          <w:sz w:val="22"/>
          <w:szCs w:val="22"/>
        </w:rPr>
        <w:t xml:space="preserve">una audiencia única dentro del plazo de diez días hábiles, en la que</w:t>
      </w:r>
    </w:p>
    <w:p>
      <w:pPr>
        <w:spacing w:after="120"/>
        <w:jc w:val="both"/>
      </w:pPr>
      <w:r>
        <w:rPr>
          <w:sz w:val="22"/>
          <w:szCs w:val="22"/>
        </w:rPr>
        <w:t xml:space="preserve">se diligenciarán las pruebas propuestas y se formularán los alegatos.</w:t>
      </w:r>
    </w:p>
    <w:p>
      <w:pPr>
        <w:spacing w:after="120"/>
        <w:jc w:val="both"/>
      </w:pPr>
      <w:r>
        <w:rPr>
          <w:sz w:val="22"/>
          <w:szCs w:val="22"/>
        </w:rPr>
        <w:t xml:space="preserve">El Tribunal dictará sentencia definitiva en dicha audiencia, pudiendo</w:t>
      </w:r>
    </w:p>
    <w:p>
      <w:pPr>
        <w:spacing w:after="120"/>
        <w:jc w:val="both"/>
      </w:pPr>
      <w:r>
        <w:rPr>
          <w:sz w:val="22"/>
          <w:szCs w:val="22"/>
        </w:rPr>
        <w:t xml:space="preserve">diferirse su dictado a un plazo máximo de tres días hábiles de</w:t>
      </w:r>
    </w:p>
    <w:p>
      <w:pPr>
        <w:spacing w:after="120"/>
        <w:jc w:val="both"/>
      </w:pPr>
      <w:r>
        <w:rPr>
          <w:sz w:val="22"/>
          <w:szCs w:val="22"/>
        </w:rPr>
        <w:t xml:space="preserve">celebrada.</w:t>
      </w:r>
    </w:p>
    <w:p>
      <w:pPr>
        <w:spacing w:after="120"/>
        <w:jc w:val="both"/>
      </w:pPr>
      <w:r>
        <w:rPr>
          <w:sz w:val="22"/>
          <w:szCs w:val="22"/>
        </w:rPr>
        <w:t xml:space="preserve">En el proceso regulado en el presente numeral sólo serán apelables la</w:t>
      </w:r>
    </w:p>
    <w:p>
      <w:pPr>
        <w:spacing w:after="120"/>
        <w:jc w:val="both"/>
      </w:pPr>
      <w:r>
        <w:rPr>
          <w:sz w:val="22"/>
          <w:szCs w:val="22"/>
        </w:rPr>
        <w:t xml:space="preserve">sentencia definitiva y la que rechaza la acción por ser</w:t>
      </w:r>
    </w:p>
    <w:p>
      <w:pPr>
        <w:spacing w:after="120"/>
        <w:jc w:val="both"/>
      </w:pPr>
      <w:r>
        <w:rPr>
          <w:sz w:val="22"/>
          <w:szCs w:val="22"/>
        </w:rPr>
        <w:t xml:space="preserve">manifiestamente improcedente.</w:t>
      </w:r>
    </w:p>
    <w:p>
      <w:pPr>
        <w:spacing w:after="120"/>
        <w:jc w:val="both"/>
      </w:pPr>
      <w:r>
        <w:rPr>
          <w:sz w:val="22"/>
          <w:szCs w:val="22"/>
        </w:rPr>
        <w:t xml:space="preserve">El recurso de apelación deberá interponerse en escrito fundado dentro</w:t>
      </w:r>
    </w:p>
    <w:p>
      <w:pPr>
        <w:spacing w:after="120"/>
        <w:jc w:val="both"/>
      </w:pPr>
      <w:r>
        <w:rPr>
          <w:sz w:val="22"/>
          <w:szCs w:val="22"/>
        </w:rPr>
        <w:t xml:space="preserve">del plazo de tres días hábiles, y se sustanciará con un traslado a la</w:t>
      </w:r>
    </w:p>
    <w:p>
      <w:pPr>
        <w:spacing w:after="120"/>
        <w:jc w:val="both"/>
      </w:pPr>
      <w:r>
        <w:rPr>
          <w:sz w:val="22"/>
          <w:szCs w:val="22"/>
        </w:rPr>
        <w:t xml:space="preserve">contraparte por tres días hábiles, cuando la sentencia apelada fuese</w:t>
      </w:r>
    </w:p>
    <w:p>
      <w:pPr>
        <w:spacing w:after="120"/>
        <w:jc w:val="both"/>
      </w:pPr>
      <w:r>
        <w:rPr>
          <w:sz w:val="22"/>
          <w:szCs w:val="22"/>
        </w:rPr>
        <w:t xml:space="preserve">la definitiva.</w:t>
      </w:r>
    </w:p>
    <w:p>
      <w:pPr>
        <w:spacing w:after="120"/>
        <w:jc w:val="both"/>
      </w:pPr>
      <w:r>
        <w:rPr>
          <w:sz w:val="22"/>
          <w:szCs w:val="22"/>
        </w:rPr>
        <w:t xml:space="preserve">El Tribunal de Apelaciones en lo Civil resolverá en acuerdo, dentro de</w:t>
      </w:r>
    </w:p>
    <w:p>
      <w:pPr>
        <w:spacing w:after="120"/>
        <w:jc w:val="both"/>
      </w:pPr>
      <w:r>
        <w:rPr>
          <w:sz w:val="22"/>
          <w:szCs w:val="22"/>
        </w:rPr>
        <w:t xml:space="preserve">los cuatro días hábiles siguientes a la recepción de los autos. La</w:t>
      </w:r>
    </w:p>
    <w:p>
      <w:pPr>
        <w:spacing w:after="120"/>
        <w:jc w:val="both"/>
      </w:pPr>
      <w:r>
        <w:rPr>
          <w:sz w:val="22"/>
          <w:szCs w:val="22"/>
        </w:rPr>
        <w:t xml:space="preserve">interposición del recurso no suspenderá las medidas dispuestas por el</w:t>
      </w:r>
    </w:p>
    <w:p>
      <w:pPr>
        <w:spacing w:after="120"/>
        <w:jc w:val="both"/>
      </w:pPr>
      <w:r>
        <w:rPr>
          <w:sz w:val="22"/>
          <w:szCs w:val="22"/>
        </w:rPr>
        <w:t xml:space="preserve">Juez de primera instancia, las cuales serán cumplidas inmediatamente</w:t>
      </w:r>
    </w:p>
    <w:p>
      <w:pPr>
        <w:spacing w:after="120"/>
        <w:jc w:val="both"/>
      </w:pPr>
      <w:r>
        <w:rPr>
          <w:sz w:val="22"/>
          <w:szCs w:val="22"/>
        </w:rPr>
        <w:t xml:space="preserve">después de notificada la sentencia, sin necesidad de tener que esperar</w:t>
      </w:r>
    </w:p>
    <w:p>
      <w:pPr>
        <w:spacing w:after="120"/>
        <w:jc w:val="both"/>
      </w:pPr>
      <w:r>
        <w:rPr>
          <w:sz w:val="22"/>
          <w:szCs w:val="22"/>
        </w:rPr>
        <w:t xml:space="preserve">el transcurso del plazo para su impugnación.</w:t>
      </w:r>
    </w:p>
    <w:p>
      <w:pPr>
        <w:spacing w:after="120"/>
        <w:jc w:val="both"/>
      </w:pPr>
      <w:r>
        <w:rPr>
          <w:sz w:val="22"/>
          <w:szCs w:val="22"/>
        </w:rPr>
        <w:t xml:space="preserve">En todos los casos, lo resuelto por el Juez de primera instancia será</w:t>
      </w:r>
    </w:p>
    <w:p>
      <w:pPr>
        <w:spacing w:after="120"/>
        <w:jc w:val="both"/>
      </w:pPr>
      <w:r>
        <w:rPr>
          <w:sz w:val="22"/>
          <w:szCs w:val="22"/>
        </w:rPr>
        <w:t xml:space="preserve">ejecutado sin más trámite, disponiendo el auxilio de la fuerza pública</w:t>
      </w:r>
    </w:p>
    <w:p>
      <w:pPr>
        <w:spacing w:after="120"/>
        <w:jc w:val="both"/>
      </w:pPr>
      <w:r>
        <w:rPr>
          <w:sz w:val="22"/>
          <w:szCs w:val="22"/>
        </w:rPr>
        <w:t xml:space="preserve">y el ingreso al inmueble.</w:t>
      </w:r>
    </w:p>
    <w:p>
      <w:pPr>
        <w:spacing w:after="120"/>
        <w:jc w:val="both"/>
      </w:pPr>
      <w:r>
        <w:rPr>
          <w:sz w:val="22"/>
          <w:szCs w:val="22"/>
        </w:rPr>
        <w:t xml:space="preserve">No será necesario que se agote la vía administrativa mediante la</w:t>
      </w:r>
    </w:p>
    <w:p>
      <w:pPr>
        <w:spacing w:after="120"/>
        <w:jc w:val="both"/>
      </w:pPr>
      <w:r>
        <w:rPr>
          <w:sz w:val="22"/>
          <w:szCs w:val="22"/>
        </w:rPr>
        <w:t xml:space="preserve">interposición de los recursos administrativos, para el ejercicio de la</w:t>
      </w:r>
    </w:p>
    <w:p>
      <w:pPr>
        <w:spacing w:after="120"/>
        <w:jc w:val="both"/>
      </w:pPr>
      <w:r>
        <w:rPr>
          <w:sz w:val="22"/>
          <w:szCs w:val="22"/>
        </w:rPr>
        <w:t xml:space="preserve">acción regulada en este numeral.</w:t>
      </w:r>
    </w:p>
    <w:p>
      <w:pPr>
        <w:spacing w:after="120"/>
        <w:jc w:val="both"/>
      </w:pPr>
      <w:r>
        <w:rPr>
          <w:sz w:val="22"/>
          <w:szCs w:val="22"/>
        </w:rPr>
        <w:t xml:space="preserve">La interposición de los recursos administrativos, que correspondan</w:t>
      </w:r>
    </w:p>
    <w:p>
      <w:pPr>
        <w:spacing w:after="120"/>
        <w:jc w:val="both"/>
      </w:pPr>
      <w:r>
        <w:rPr>
          <w:sz w:val="22"/>
          <w:szCs w:val="22"/>
        </w:rPr>
        <w:t xml:space="preserve">contra el acto administrativo que decida sobre infracciones en materia</w:t>
      </w:r>
    </w:p>
    <w:p>
      <w:pPr>
        <w:spacing w:after="120"/>
        <w:jc w:val="both"/>
      </w:pPr>
      <w:r>
        <w:rPr>
          <w:sz w:val="22"/>
          <w:szCs w:val="22"/>
        </w:rPr>
        <w:t xml:space="preserve">de ordenamiento territorial de bienes del dominio público o fiscal no</w:t>
      </w:r>
    </w:p>
    <w:p>
      <w:pPr>
        <w:spacing w:after="120"/>
        <w:jc w:val="both"/>
      </w:pPr>
      <w:r>
        <w:rPr>
          <w:sz w:val="22"/>
          <w:szCs w:val="22"/>
        </w:rPr>
        <w:t xml:space="preserve">tendrá, en ningún caso, efecto suspensivo.</w:t>
      </w:r>
    </w:p>
    <w:p>
      <w:pPr>
        <w:spacing w:after="120"/>
        <w:jc w:val="both"/>
      </w:pPr>
      <w:r>
        <w:rPr>
          <w:sz w:val="22"/>
          <w:szCs w:val="22"/>
        </w:rPr>
        <w:t xml:space="preserve">69.3. (Acciones en bienes inmuebles del dominio público y fiscal)</w:t>
      </w:r>
    </w:p>
    <w:p>
      <w:pPr>
        <w:spacing w:after="120"/>
        <w:jc w:val="both"/>
      </w:pPr>
      <w:r>
        <w:rPr>
          <w:sz w:val="22"/>
          <w:szCs w:val="22"/>
        </w:rPr>
        <w:t xml:space="preserve">En caso de infracciones a la normativa de ordenamiento territorial que</w:t>
      </w:r>
    </w:p>
    <w:p>
      <w:pPr>
        <w:spacing w:after="120"/>
        <w:jc w:val="both"/>
      </w:pPr>
      <w:r>
        <w:rPr>
          <w:sz w:val="22"/>
          <w:szCs w:val="22"/>
        </w:rPr>
        <w:t xml:space="preserve">recaigan sobre bienes inmuebles del dominio público y fiscal, las</w:t>
      </w:r>
    </w:p>
    <w:p>
      <w:pPr>
        <w:spacing w:after="120"/>
        <w:jc w:val="both"/>
      </w:pPr>
      <w:r>
        <w:rPr>
          <w:sz w:val="22"/>
          <w:szCs w:val="22"/>
        </w:rPr>
        <w:t xml:space="preserve">Intendencias Departamentales o en su caso la entidad estatal que</w:t>
      </w:r>
    </w:p>
    <w:p>
      <w:pPr>
        <w:spacing w:after="120"/>
        <w:jc w:val="both"/>
      </w:pPr>
      <w:r>
        <w:rPr>
          <w:sz w:val="22"/>
          <w:szCs w:val="22"/>
        </w:rPr>
        <w:t xml:space="preserve">corresponda podrán requerir el auxilio de la fuerza pública para su</w:t>
      </w:r>
    </w:p>
    <w:p>
      <w:pPr>
        <w:spacing w:after="120"/>
        <w:jc w:val="both"/>
      </w:pPr>
      <w:r>
        <w:rPr>
          <w:sz w:val="22"/>
          <w:szCs w:val="22"/>
        </w:rPr>
        <w:t xml:space="preserve">ejecución.</w:t>
      </w:r>
    </w:p>
    <w:p>
      <w:pPr>
        <w:spacing w:after="120"/>
        <w:jc w:val="both"/>
      </w:pPr>
      <w:r>
        <w:rPr>
          <w:sz w:val="22"/>
          <w:szCs w:val="22"/>
        </w:rPr>
        <w:t xml:space="preserve">Ante la resistencia del infractor al cumplimiento de las normas</w:t>
      </w:r>
    </w:p>
    <w:p>
      <w:pPr>
        <w:spacing w:after="120"/>
        <w:jc w:val="both"/>
      </w:pPr>
      <w:r>
        <w:rPr>
          <w:sz w:val="22"/>
          <w:szCs w:val="22"/>
        </w:rPr>
        <w:t xml:space="preserve">referidas en el inciso anterior o de las actuaciones realizadas por la</w:t>
      </w:r>
    </w:p>
    <w:p>
      <w:pPr>
        <w:spacing w:after="120"/>
        <w:jc w:val="both"/>
      </w:pPr>
      <w:r>
        <w:rPr>
          <w:sz w:val="22"/>
          <w:szCs w:val="22"/>
        </w:rPr>
        <w:t xml:space="preserve">autoridad administrativa competente en cumplimiento de dicha</w:t>
      </w:r>
    </w:p>
    <w:p>
      <w:pPr>
        <w:spacing w:after="120"/>
        <w:jc w:val="both"/>
      </w:pPr>
      <w:r>
        <w:rPr>
          <w:sz w:val="22"/>
          <w:szCs w:val="22"/>
        </w:rPr>
        <w:t xml:space="preserve">normativa, las Intendencias Departamentales deberán promover las</w:t>
      </w:r>
    </w:p>
    <w:p>
      <w:pPr>
        <w:spacing w:after="120"/>
        <w:jc w:val="both"/>
      </w:pPr>
      <w:r>
        <w:rPr>
          <w:sz w:val="22"/>
          <w:szCs w:val="22"/>
        </w:rPr>
        <w:t xml:space="preserve">acciones judiciales pertinentes ante el Juzgado Letrado de Primera</w:t>
      </w:r>
    </w:p>
    <w:p>
      <w:pPr>
        <w:spacing w:after="120"/>
        <w:jc w:val="both"/>
      </w:pPr>
      <w:r>
        <w:rPr>
          <w:sz w:val="22"/>
          <w:szCs w:val="22"/>
        </w:rPr>
        <w:t xml:space="preserve">Instancia con competencia en materia civil, solicitando, según</w:t>
      </w:r>
    </w:p>
    <w:p>
      <w:pPr>
        <w:spacing w:after="120"/>
        <w:jc w:val="both"/>
      </w:pPr>
      <w:r>
        <w:rPr>
          <w:sz w:val="22"/>
          <w:szCs w:val="22"/>
        </w:rPr>
        <w:t xml:space="preserve">corresponda, la demolición inmediata de las construcciones no</w:t>
      </w:r>
    </w:p>
    <w:p>
      <w:pPr>
        <w:spacing w:after="120"/>
        <w:jc w:val="both"/>
      </w:pPr>
      <w:r>
        <w:rPr>
          <w:sz w:val="22"/>
          <w:szCs w:val="22"/>
        </w:rPr>
        <w:t xml:space="preserve">autorizadas, la remoción de las alteraciones, la recomposición o la</w:t>
      </w:r>
    </w:p>
    <w:p>
      <w:pPr>
        <w:spacing w:after="120"/>
        <w:jc w:val="both"/>
      </w:pPr>
      <w:r>
        <w:rPr>
          <w:sz w:val="22"/>
          <w:szCs w:val="22"/>
        </w:rPr>
        <w:t xml:space="preserve">mitigación ante acciones contrarias al ordenamiento territorial y la</w:t>
      </w:r>
    </w:p>
    <w:p>
      <w:pPr>
        <w:spacing w:after="120"/>
        <w:jc w:val="both"/>
      </w:pPr>
      <w:r>
        <w:rPr>
          <w:sz w:val="22"/>
          <w:szCs w:val="22"/>
        </w:rPr>
        <w:t xml:space="preserve">desocupación del bien inmueble.</w:t>
      </w:r>
    </w:p>
    <w:p>
      <w:pPr>
        <w:spacing w:after="120"/>
        <w:jc w:val="both"/>
      </w:pPr>
      <w:r>
        <w:rPr>
          <w:sz w:val="22"/>
          <w:szCs w:val="22"/>
        </w:rPr>
        <w:t xml:space="preserve">Presentada la demanda, el Tribunal decretará sin más trámite lo</w:t>
      </w:r>
    </w:p>
    <w:p>
      <w:pPr>
        <w:spacing w:after="120"/>
        <w:jc w:val="both"/>
      </w:pPr>
      <w:r>
        <w:rPr>
          <w:sz w:val="22"/>
          <w:szCs w:val="22"/>
        </w:rPr>
        <w:t xml:space="preserve">solicitado e intimará en forma inmediata su cumplimiento, con plazo</w:t>
      </w:r>
    </w:p>
    <w:p>
      <w:pPr>
        <w:spacing w:after="120"/>
        <w:jc w:val="both"/>
      </w:pPr>
      <w:r>
        <w:rPr>
          <w:sz w:val="22"/>
          <w:szCs w:val="22"/>
        </w:rPr>
        <w:t xml:space="preserve">improrrogable de diez días hábiles, cometiendo la diligencia al</w:t>
      </w:r>
    </w:p>
    <w:p>
      <w:pPr>
        <w:spacing w:after="120"/>
        <w:jc w:val="both"/>
      </w:pPr>
      <w:r>
        <w:rPr>
          <w:sz w:val="22"/>
          <w:szCs w:val="22"/>
        </w:rPr>
        <w:t xml:space="preserve">Alguacil de la Sede Judicial con las más amplias facultades.</w:t>
      </w:r>
    </w:p>
    <w:p>
      <w:pPr>
        <w:spacing w:after="120"/>
        <w:jc w:val="both"/>
      </w:pPr>
      <w:r>
        <w:rPr>
          <w:sz w:val="22"/>
          <w:szCs w:val="22"/>
        </w:rPr>
        <w:t xml:space="preserve">En la resolución judicial referida en el inciso anterior, el Tribunal</w:t>
      </w:r>
    </w:p>
    <w:p>
      <w:pPr>
        <w:spacing w:after="120"/>
        <w:jc w:val="both"/>
      </w:pPr>
      <w:r>
        <w:rPr>
          <w:sz w:val="22"/>
          <w:szCs w:val="22"/>
        </w:rPr>
        <w:t xml:space="preserve">dispondrá el emplazamiento de los ocupantes por el término de seis</w:t>
      </w:r>
    </w:p>
    <w:p>
      <w:pPr>
        <w:spacing w:after="120"/>
        <w:jc w:val="both"/>
      </w:pPr>
      <w:r>
        <w:rPr>
          <w:sz w:val="22"/>
          <w:szCs w:val="22"/>
        </w:rPr>
        <w:t xml:space="preserve">días hábiles, los que podrán oponer como única excepción admisible la</w:t>
      </w:r>
    </w:p>
    <w:p>
      <w:pPr>
        <w:spacing w:after="120"/>
        <w:jc w:val="both"/>
      </w:pPr>
      <w:r>
        <w:rPr>
          <w:sz w:val="22"/>
          <w:szCs w:val="22"/>
        </w:rPr>
        <w:t xml:space="preserve">falta de legitimación.</w:t>
      </w:r>
    </w:p>
    <w:p>
      <w:pPr>
        <w:spacing w:after="120"/>
        <w:jc w:val="both"/>
      </w:pPr>
      <w:r>
        <w:rPr>
          <w:sz w:val="22"/>
          <w:szCs w:val="22"/>
        </w:rPr>
        <w:t xml:space="preserve">En caso de allanamiento a la pretensión o de no haber sido opuesta la</w:t>
      </w:r>
    </w:p>
    <w:p>
      <w:pPr>
        <w:spacing w:after="120"/>
        <w:jc w:val="both"/>
      </w:pPr>
      <w:r>
        <w:rPr>
          <w:sz w:val="22"/>
          <w:szCs w:val="22"/>
        </w:rPr>
        <w:t xml:space="preserve">excepción de falta de legitimación, se procederá al cumplimiento</w:t>
      </w:r>
    </w:p>
    <w:p>
      <w:pPr>
        <w:spacing w:after="120"/>
        <w:jc w:val="both"/>
      </w:pPr>
      <w:r>
        <w:rPr>
          <w:sz w:val="22"/>
          <w:szCs w:val="22"/>
        </w:rPr>
        <w:t xml:space="preserve">inmediato de la providencia inicial, debiendo cometerse la diligencia</w:t>
      </w:r>
    </w:p>
    <w:p>
      <w:pPr>
        <w:spacing w:after="120"/>
        <w:jc w:val="both"/>
      </w:pPr>
      <w:r>
        <w:rPr>
          <w:sz w:val="22"/>
          <w:szCs w:val="22"/>
        </w:rPr>
        <w:t xml:space="preserve">correspondiente al Alguacil de la Sede Judicial con las más amplias</w:t>
      </w:r>
    </w:p>
    <w:p>
      <w:pPr>
        <w:spacing w:after="120"/>
        <w:jc w:val="both"/>
      </w:pPr>
      <w:r>
        <w:rPr>
          <w:sz w:val="22"/>
          <w:szCs w:val="22"/>
        </w:rPr>
        <w:t xml:space="preserve">facultades.</w:t>
      </w:r>
    </w:p>
    <w:p>
      <w:pPr>
        <w:spacing w:after="120"/>
        <w:jc w:val="both"/>
      </w:pPr>
      <w:r>
        <w:rPr>
          <w:sz w:val="22"/>
          <w:szCs w:val="22"/>
        </w:rPr>
        <w:t xml:space="preserve">Si se hubiere opuesto la excepción de falta de legitimación, el</w:t>
      </w:r>
    </w:p>
    <w:p>
      <w:pPr>
        <w:spacing w:after="120"/>
        <w:jc w:val="both"/>
      </w:pPr>
      <w:r>
        <w:rPr>
          <w:sz w:val="22"/>
          <w:szCs w:val="22"/>
        </w:rPr>
        <w:t xml:space="preserve">Tribunal convocará a una audiencia única dentro del plazo de diez días</w:t>
      </w:r>
    </w:p>
    <w:p>
      <w:pPr>
        <w:spacing w:after="120"/>
        <w:jc w:val="both"/>
      </w:pPr>
      <w:r>
        <w:rPr>
          <w:sz w:val="22"/>
          <w:szCs w:val="22"/>
        </w:rPr>
        <w:t xml:space="preserve">hábiles, en la que se diligenciarán las pruebas propuestas y se</w:t>
      </w:r>
    </w:p>
    <w:p>
      <w:pPr>
        <w:spacing w:after="120"/>
        <w:jc w:val="both"/>
      </w:pPr>
      <w:r>
        <w:rPr>
          <w:sz w:val="22"/>
          <w:szCs w:val="22"/>
        </w:rPr>
        <w:t xml:space="preserve">formularán los alegatos. El Tribunal dictará sentencia definitiva en</w:t>
      </w:r>
    </w:p>
    <w:p>
      <w:pPr>
        <w:spacing w:after="120"/>
        <w:jc w:val="both"/>
      </w:pPr>
      <w:r>
        <w:rPr>
          <w:sz w:val="22"/>
          <w:szCs w:val="22"/>
        </w:rPr>
        <w:t xml:space="preserve">dicha audiencia, pudiendo diferirse su dictado a un plazo máximo de</w:t>
      </w:r>
    </w:p>
    <w:p>
      <w:pPr>
        <w:spacing w:after="120"/>
        <w:jc w:val="both"/>
      </w:pPr>
      <w:r>
        <w:rPr>
          <w:sz w:val="22"/>
          <w:szCs w:val="22"/>
        </w:rPr>
        <w:t xml:space="preserve">tres días hábiles de celebrada.</w:t>
      </w:r>
    </w:p>
    <w:p>
      <w:pPr>
        <w:spacing w:after="120"/>
        <w:jc w:val="both"/>
      </w:pPr>
      <w:r>
        <w:rPr>
          <w:sz w:val="22"/>
          <w:szCs w:val="22"/>
        </w:rPr>
        <w:t xml:space="preserve">En el proceso regulado en el presente numeral sólo serán apelables,</w:t>
      </w:r>
    </w:p>
    <w:p>
      <w:pPr>
        <w:spacing w:after="120"/>
        <w:jc w:val="both"/>
      </w:pPr>
      <w:r>
        <w:rPr>
          <w:sz w:val="22"/>
          <w:szCs w:val="22"/>
        </w:rPr>
        <w:t xml:space="preserve">con efecto no suspensivo, la sentencia definitiva y la que rechaza la</w:t>
      </w:r>
    </w:p>
    <w:p>
      <w:pPr>
        <w:spacing w:after="120"/>
        <w:jc w:val="both"/>
      </w:pPr>
      <w:r>
        <w:rPr>
          <w:sz w:val="22"/>
          <w:szCs w:val="22"/>
        </w:rPr>
        <w:t xml:space="preserve">acción por ser manifiestamente improcedente.</w:t>
      </w:r>
    </w:p>
    <w:p>
      <w:pPr>
        <w:spacing w:after="120"/>
        <w:jc w:val="both"/>
      </w:pPr>
      <w:r>
        <w:rPr>
          <w:sz w:val="22"/>
          <w:szCs w:val="22"/>
        </w:rPr>
        <w:t xml:space="preserve">El recurso de apelación deberá interponerse en escrito fundado dentro</w:t>
      </w:r>
    </w:p>
    <w:p>
      <w:pPr>
        <w:spacing w:after="120"/>
        <w:jc w:val="both"/>
      </w:pPr>
      <w:r>
        <w:rPr>
          <w:sz w:val="22"/>
          <w:szCs w:val="22"/>
        </w:rPr>
        <w:t xml:space="preserve">del plazo de tres días hábiles, y se sustanciará con un traslado a la</w:t>
      </w:r>
    </w:p>
    <w:p>
      <w:pPr>
        <w:spacing w:after="120"/>
        <w:jc w:val="both"/>
      </w:pPr>
      <w:r>
        <w:rPr>
          <w:sz w:val="22"/>
          <w:szCs w:val="22"/>
        </w:rPr>
        <w:t xml:space="preserve">contraparte por tres días hábiles, cuando la sentencia apelada fuese</w:t>
      </w:r>
    </w:p>
    <w:p>
      <w:pPr>
        <w:spacing w:after="120"/>
        <w:jc w:val="both"/>
      </w:pPr>
      <w:r>
        <w:rPr>
          <w:sz w:val="22"/>
          <w:szCs w:val="22"/>
        </w:rPr>
        <w:t xml:space="preserve">la definitiva.</w:t>
      </w:r>
    </w:p>
    <w:p>
      <w:pPr>
        <w:spacing w:after="120"/>
        <w:jc w:val="both"/>
      </w:pPr>
      <w:r>
        <w:rPr>
          <w:sz w:val="22"/>
          <w:szCs w:val="22"/>
        </w:rPr>
        <w:t xml:space="preserve">El Tribunal de Apelaciones en lo Civil resolverá en acuerdo, dentro de</w:t>
      </w:r>
    </w:p>
    <w:p>
      <w:pPr>
        <w:spacing w:after="120"/>
        <w:jc w:val="both"/>
      </w:pPr>
      <w:r>
        <w:rPr>
          <w:sz w:val="22"/>
          <w:szCs w:val="22"/>
        </w:rPr>
        <w:t xml:space="preserve">los cuatro días hábiles siguientes a la recepción de los autos.</w:t>
      </w:r>
    </w:p>
    <w:p>
      <w:pPr>
        <w:spacing w:after="120"/>
        <w:jc w:val="both"/>
      </w:pPr>
      <w:r>
        <w:rPr>
          <w:sz w:val="22"/>
          <w:szCs w:val="22"/>
        </w:rPr>
        <w:t xml:space="preserve">No será necesario que se agote la vía administrativa mediante la</w:t>
      </w:r>
    </w:p>
    <w:p>
      <w:pPr>
        <w:spacing w:after="120"/>
        <w:jc w:val="both"/>
      </w:pPr>
      <w:r>
        <w:rPr>
          <w:sz w:val="22"/>
          <w:szCs w:val="22"/>
        </w:rPr>
        <w:t xml:space="preserve">interposición de los recursos administrativos, para el ejercicio de la</w:t>
      </w:r>
    </w:p>
    <w:p>
      <w:pPr>
        <w:spacing w:after="120"/>
        <w:jc w:val="both"/>
      </w:pPr>
      <w:r>
        <w:rPr>
          <w:sz w:val="22"/>
          <w:szCs w:val="22"/>
        </w:rPr>
        <w:t xml:space="preserve">acción regulada en este numeral.</w:t>
      </w:r>
    </w:p>
    <w:p>
      <w:pPr>
        <w:spacing w:after="120"/>
        <w:jc w:val="both"/>
      </w:pPr>
      <w:r>
        <w:rPr>
          <w:sz w:val="22"/>
          <w:szCs w:val="22"/>
        </w:rPr>
        <w:t xml:space="preserve">La interposición de los recursos administrativos, que correspondan</w:t>
      </w:r>
    </w:p>
    <w:p>
      <w:pPr>
        <w:spacing w:after="120"/>
        <w:jc w:val="both"/>
      </w:pPr>
      <w:r>
        <w:rPr>
          <w:sz w:val="22"/>
          <w:szCs w:val="22"/>
        </w:rPr>
        <w:t xml:space="preserve">contra el acto administrativo que decida sobre infracciones en materia</w:t>
      </w:r>
    </w:p>
    <w:p>
      <w:pPr>
        <w:spacing w:after="120"/>
        <w:jc w:val="both"/>
      </w:pPr>
      <w:r>
        <w:rPr>
          <w:sz w:val="22"/>
          <w:szCs w:val="22"/>
        </w:rPr>
        <w:t xml:space="preserve">de ordenamiento territorial de bienes del dominio público o fiscal no</w:t>
      </w:r>
    </w:p>
    <w:p>
      <w:pPr>
        <w:spacing w:after="120"/>
        <w:jc w:val="both"/>
      </w:pPr>
      <w:r>
        <w:rPr>
          <w:sz w:val="22"/>
          <w:szCs w:val="22"/>
        </w:rPr>
        <w:t xml:space="preserve">tendrá, en ningún caso, efecto suspensivo.</w:t>
      </w:r>
    </w:p>
    <w:p>
      <w:pPr>
        <w:spacing w:after="120"/>
        <w:jc w:val="both"/>
      </w:pPr>
      <w:r>
        <w:rPr>
          <w:sz w:val="22"/>
          <w:szCs w:val="22"/>
        </w:rPr>
        <w:t xml:space="preserve">69.4 (Acciones de personas públicas estatales y no estatales)</w:t>
      </w:r>
    </w:p>
    <w:p>
      <w:pPr>
        <w:spacing w:after="120"/>
        <w:jc w:val="both"/>
      </w:pPr>
      <w:r>
        <w:rPr>
          <w:sz w:val="22"/>
          <w:szCs w:val="22"/>
        </w:rPr>
        <w:t xml:space="preserve">Las personas públicas estatales y no estatales tendrán legitimación</w:t>
      </w:r>
    </w:p>
    <w:p>
      <w:pPr>
        <w:spacing w:after="120"/>
        <w:jc w:val="both"/>
      </w:pPr>
      <w:r>
        <w:rPr>
          <w:sz w:val="22"/>
          <w:szCs w:val="22"/>
        </w:rPr>
        <w:t xml:space="preserve">activa a los efectos de promover las acciones establecidas en el</w:t>
      </w:r>
    </w:p>
    <w:p>
      <w:pPr>
        <w:spacing w:after="120"/>
        <w:jc w:val="both"/>
      </w:pPr>
      <w:r>
        <w:rPr>
          <w:sz w:val="22"/>
          <w:szCs w:val="22"/>
        </w:rPr>
        <w:t xml:space="preserve">presente artículo únicamente respecto a los bienes de su propiedad.</w:t>
      </w:r>
    </w:p>
    <w:p>
      <w:pPr>
        <w:spacing w:after="120"/>
        <w:jc w:val="both"/>
      </w:pPr>
      <w:r>
        <w:rPr>
          <w:sz w:val="22"/>
          <w:szCs w:val="22"/>
        </w:rPr>
        <w:t xml:space="preserve">69.5 (Actuación de la Justicia Penal competente)</w:t>
      </w:r>
    </w:p>
    <w:p>
      <w:pPr>
        <w:spacing w:after="120"/>
        <w:jc w:val="both"/>
      </w:pPr>
      <w:r>
        <w:rPr>
          <w:sz w:val="22"/>
          <w:szCs w:val="22"/>
        </w:rPr>
        <w:t xml:space="preserve">Las acciones judiciales previstas en el presente artículo serán</w:t>
      </w:r>
    </w:p>
    <w:p>
      <w:pPr>
        <w:spacing w:after="120"/>
        <w:jc w:val="both"/>
      </w:pPr>
      <w:r>
        <w:rPr>
          <w:sz w:val="22"/>
          <w:szCs w:val="22"/>
        </w:rPr>
        <w:t xml:space="preserve">promovidas sin perjuicio de la actuación de la Justicia Penal</w:t>
      </w:r>
    </w:p>
    <w:p>
      <w:pPr>
        <w:spacing w:after="120"/>
        <w:jc w:val="both"/>
      </w:pPr>
      <w:r>
        <w:rPr>
          <w:sz w:val="22"/>
          <w:szCs w:val="22"/>
        </w:rPr>
        <w:t xml:space="preserve">competente.</w:t>
      </w:r>
    </w:p>
    <w:p>
      <w:pPr>
        <w:spacing w:after="120"/>
        <w:jc w:val="both"/>
      </w:pPr>
      <w:r>
        <w:rPr>
          <w:sz w:val="22"/>
          <w:szCs w:val="22"/>
        </w:rPr>
        <w:t xml:space="preserve">69.6 (Diligencias preparatorias)</w:t>
      </w:r>
    </w:p>
    <w:p>
      <w:pPr>
        <w:spacing w:after="120"/>
        <w:jc w:val="both"/>
      </w:pPr>
      <w:r>
        <w:rPr>
          <w:sz w:val="22"/>
          <w:szCs w:val="22"/>
        </w:rPr>
        <w:t xml:space="preserve">Las Intendencias Departamentales podrán solicitar como diligencia</w:t>
      </w:r>
    </w:p>
    <w:p>
      <w:pPr>
        <w:spacing w:after="120"/>
        <w:jc w:val="both"/>
      </w:pPr>
      <w:r>
        <w:rPr>
          <w:sz w:val="22"/>
          <w:szCs w:val="22"/>
        </w:rPr>
        <w:t xml:space="preserve">preparatoria inspecciones, pericias, pedidos de datos e intimaciones,</w:t>
      </w:r>
    </w:p>
    <w:p>
      <w:pPr>
        <w:spacing w:after="120"/>
        <w:jc w:val="both"/>
      </w:pPr>
      <w:r>
        <w:rPr>
          <w:sz w:val="22"/>
          <w:szCs w:val="22"/>
        </w:rPr>
        <w:t xml:space="preserve">que sean necesarias para cumplir con la normativa relativa al</w:t>
      </w:r>
    </w:p>
    <w:p>
      <w:pPr>
        <w:spacing w:after="120"/>
        <w:jc w:val="both"/>
      </w:pPr>
      <w:r>
        <w:rPr>
          <w:sz w:val="22"/>
          <w:szCs w:val="22"/>
        </w:rPr>
        <w:t xml:space="preserve">ordenamiento territorial, sin perjuicio de la aplicación del Capítulo</w:t>
      </w:r>
    </w:p>
    <w:p>
      <w:pPr>
        <w:spacing w:after="120"/>
        <w:jc w:val="both"/>
      </w:pPr>
      <w:r>
        <w:rPr>
          <w:sz w:val="22"/>
          <w:szCs w:val="22"/>
        </w:rPr>
        <w:t xml:space="preserve">IV del Título I del Libro II del Código General del Proceso en lo no</w:t>
      </w:r>
    </w:p>
    <w:p>
      <w:pPr>
        <w:spacing w:after="120"/>
        <w:jc w:val="both"/>
      </w:pPr>
      <w:r>
        <w:rPr>
          <w:sz w:val="22"/>
          <w:szCs w:val="22"/>
        </w:rPr>
        <w:t xml:space="preserve">previsto.</w:t>
      </w:r>
    </w:p>
    <w:p>
      <w:pPr>
        <w:spacing w:after="120"/>
        <w:jc w:val="both"/>
      </w:pPr>
      <w:r>
        <w:rPr>
          <w:sz w:val="22"/>
          <w:szCs w:val="22"/>
        </w:rPr>
        <w:t xml:space="preserve">Lo establecido en este numeral no limitará ni restringirá las medidas</w:t>
      </w:r>
    </w:p>
    <w:p>
      <w:pPr>
        <w:spacing w:after="120"/>
        <w:jc w:val="both"/>
      </w:pPr>
      <w:r>
        <w:rPr>
          <w:sz w:val="22"/>
          <w:szCs w:val="22"/>
        </w:rPr>
        <w:t xml:space="preserve">de instrucción que corresponda adoptar en vía administrativa.</w:t>
      </w:r>
    </w:p>
    <w:p>
      <w:pPr>
        <w:spacing w:after="120"/>
        <w:jc w:val="both"/>
      </w:pPr>
      <w:r>
        <w:rPr>
          <w:sz w:val="22"/>
          <w:szCs w:val="22"/>
        </w:rPr>
        <w:t xml:space="preserve">69.7 (Medidas cautelares)</w:t>
      </w:r>
    </w:p>
    <w:p>
      <w:pPr>
        <w:spacing w:after="120"/>
        <w:jc w:val="both"/>
      </w:pPr>
      <w:r>
        <w:rPr>
          <w:sz w:val="22"/>
          <w:szCs w:val="22"/>
        </w:rPr>
        <w:t xml:space="preserve">Las Intendencias Departamentales podrán solicitar como medida cautelar</w:t>
      </w:r>
    </w:p>
    <w:p>
      <w:pPr>
        <w:spacing w:after="120"/>
        <w:jc w:val="both"/>
      </w:pPr>
      <w:r>
        <w:rPr>
          <w:sz w:val="22"/>
          <w:szCs w:val="22"/>
        </w:rPr>
        <w:t xml:space="preserve">o provisional, la prohibición de innovar, la prohibición de formación</w:t>
      </w:r>
    </w:p>
    <w:p>
      <w:pPr>
        <w:spacing w:after="120"/>
        <w:jc w:val="both"/>
      </w:pPr>
      <w:r>
        <w:rPr>
          <w:sz w:val="22"/>
          <w:szCs w:val="22"/>
        </w:rPr>
        <w:t xml:space="preserve">de asentamientos, loteos, fraccionamientos no autorizados, la</w:t>
      </w:r>
    </w:p>
    <w:p>
      <w:pPr>
        <w:spacing w:after="120"/>
        <w:jc w:val="both"/>
      </w:pPr>
      <w:r>
        <w:rPr>
          <w:sz w:val="22"/>
          <w:szCs w:val="22"/>
        </w:rPr>
        <w:t xml:space="preserve">suspensión de obras no autorizadas u otras modificaciones de</w:t>
      </w:r>
    </w:p>
    <w:p>
      <w:pPr>
        <w:spacing w:after="120"/>
        <w:jc w:val="both"/>
      </w:pPr>
      <w:r>
        <w:rPr>
          <w:sz w:val="22"/>
          <w:szCs w:val="22"/>
        </w:rPr>
        <w:t xml:space="preserve">ordenamiento territorial no autorizadas, así como cualquier otra</w:t>
      </w:r>
    </w:p>
    <w:p>
      <w:pPr>
        <w:spacing w:after="120"/>
        <w:jc w:val="both"/>
      </w:pPr>
      <w:r>
        <w:rPr>
          <w:sz w:val="22"/>
          <w:szCs w:val="22"/>
        </w:rPr>
        <w:t xml:space="preserve">idónea para asegurar el cumplimiento de la resolución que se dictare</w:t>
      </w:r>
    </w:p>
    <w:p>
      <w:pPr>
        <w:spacing w:after="120"/>
        <w:jc w:val="both"/>
      </w:pPr>
      <w:r>
        <w:rPr>
          <w:sz w:val="22"/>
          <w:szCs w:val="22"/>
        </w:rPr>
        <w:t xml:space="preserve">en materia de ordenamiento territorial.</w:t>
      </w:r>
    </w:p>
    <w:p>
      <w:pPr>
        <w:spacing w:after="120"/>
        <w:jc w:val="both"/>
      </w:pPr>
      <w:r>
        <w:rPr>
          <w:sz w:val="22"/>
          <w:szCs w:val="22"/>
        </w:rPr>
        <w:t xml:space="preserve">Para acreditar el peligro de lesión o frustración del derecho que le</w:t>
      </w:r>
    </w:p>
    <w:p>
      <w:pPr>
        <w:spacing w:after="120"/>
        <w:jc w:val="both"/>
      </w:pPr>
      <w:r>
        <w:rPr>
          <w:sz w:val="22"/>
          <w:szCs w:val="22"/>
        </w:rPr>
        <w:t xml:space="preserve">asiste a las Intendencias Departamentales, será suficiente la prueba</w:t>
      </w:r>
    </w:p>
    <w:p>
      <w:pPr>
        <w:spacing w:after="120"/>
        <w:jc w:val="both"/>
      </w:pPr>
      <w:r>
        <w:rPr>
          <w:sz w:val="22"/>
          <w:szCs w:val="22"/>
        </w:rPr>
        <w:t xml:space="preserve">de la infracción a la normativa de ordenamiento territorial. Serán</w:t>
      </w:r>
    </w:p>
    <w:p>
      <w:pPr>
        <w:spacing w:after="120"/>
        <w:jc w:val="both"/>
      </w:pPr>
      <w:r>
        <w:rPr>
          <w:sz w:val="22"/>
          <w:szCs w:val="22"/>
        </w:rPr>
        <w:t xml:space="preserve">admisibles a tales efectos los medios de prueba previstos en el</w:t>
      </w:r>
    </w:p>
    <w:p>
      <w:pPr>
        <w:spacing w:after="120"/>
        <w:jc w:val="both"/>
      </w:pPr>
      <w:r>
        <w:rPr>
          <w:sz w:val="22"/>
          <w:szCs w:val="22"/>
        </w:rPr>
        <w:t xml:space="preserve">artículo 146 del Código General del Proceso.</w:t>
      </w:r>
    </w:p>
    <w:p>
      <w:pPr>
        <w:spacing w:after="120"/>
        <w:jc w:val="both"/>
      </w:pPr>
      <w:r>
        <w:rPr>
          <w:sz w:val="22"/>
          <w:szCs w:val="22"/>
        </w:rPr>
        <w:t xml:space="preserve">El Tribunal dictará resolución sobre las medidas cautelares o</w:t>
      </w:r>
    </w:p>
    <w:p>
      <w:pPr>
        <w:spacing w:after="120"/>
        <w:jc w:val="both"/>
      </w:pPr>
      <w:r>
        <w:rPr>
          <w:sz w:val="22"/>
          <w:szCs w:val="22"/>
        </w:rPr>
        <w:t xml:space="preserve">provisionales solicitadas dentro de las cuarenta y ocho horas</w:t>
      </w:r>
    </w:p>
    <w:p>
      <w:pPr>
        <w:spacing w:after="120"/>
        <w:jc w:val="both"/>
      </w:pPr>
      <w:r>
        <w:rPr>
          <w:sz w:val="22"/>
          <w:szCs w:val="22"/>
        </w:rPr>
        <w:t xml:space="preserve">siguientes a su presentación.</w:t>
      </w:r>
    </w:p>
    <w:p>
      <w:pPr>
        <w:spacing w:after="120"/>
        <w:jc w:val="both"/>
      </w:pPr>
      <w:r>
        <w:rPr>
          <w:sz w:val="22"/>
          <w:szCs w:val="22"/>
        </w:rPr>
        <w:t xml:space="preserve">Las Intendencias Departamentales estarán eximidas de consignar</w:t>
      </w:r>
    </w:p>
    <w:p>
      <w:pPr>
        <w:spacing w:after="120"/>
        <w:jc w:val="both"/>
      </w:pPr>
      <w:r>
        <w:rPr>
          <w:sz w:val="22"/>
          <w:szCs w:val="22"/>
        </w:rPr>
        <w:t xml:space="preserve">contracautela.</w:t>
      </w:r>
    </w:p>
    <w:p>
      <w:pPr>
        <w:spacing w:after="120"/>
        <w:jc w:val="both"/>
      </w:pPr>
      <w:r>
        <w:rPr>
          <w:sz w:val="22"/>
          <w:szCs w:val="22"/>
        </w:rPr>
        <w:t xml:space="preserve">En todo lo no previsto en este numeral respecto de las medidas</w:t>
      </w:r>
    </w:p>
    <w:p>
      <w:pPr>
        <w:spacing w:after="120"/>
        <w:jc w:val="both"/>
      </w:pPr>
      <w:r>
        <w:rPr>
          <w:sz w:val="22"/>
          <w:szCs w:val="22"/>
        </w:rPr>
        <w:t xml:space="preserve">cautelares o provisionales, será de aplicación lo establecido en el</w:t>
      </w:r>
    </w:p>
    <w:p>
      <w:pPr>
        <w:spacing w:after="120"/>
        <w:jc w:val="both"/>
      </w:pPr>
      <w:r>
        <w:rPr>
          <w:sz w:val="22"/>
          <w:szCs w:val="22"/>
        </w:rPr>
        <w:t xml:space="preserve">Título II del Libro II del Código General del Proceso.</w:t>
      </w:r>
    </w:p>
    <w:p>
      <w:pPr>
        <w:spacing w:after="120"/>
        <w:jc w:val="both"/>
      </w:pPr>
      <w:r>
        <w:rPr>
          <w:sz w:val="22"/>
          <w:szCs w:val="22"/>
        </w:rPr>
        <w:t xml:space="preserve">Lo establecido en este numeral no limitará ni restringirá las medidas</w:t>
      </w:r>
    </w:p>
    <w:p>
      <w:pPr>
        <w:spacing w:after="120"/>
        <w:jc w:val="both"/>
      </w:pPr>
      <w:r>
        <w:rPr>
          <w:sz w:val="22"/>
          <w:szCs w:val="22"/>
        </w:rPr>
        <w:t xml:space="preserve">de similar naturaleza que corresponda adoptar en vía administrativa.</w:t>
      </w:r>
    </w:p>
    <w:p>
      <w:pPr>
        <w:spacing w:after="120"/>
        <w:jc w:val="both"/>
      </w:pPr>
      <w:r>
        <w:rPr>
          <w:sz w:val="22"/>
          <w:szCs w:val="22"/>
        </w:rPr>
        <w:t xml:space="preserve">Las acciones judiciales previstas en este numeral serán sin perjuicio</w:t>
      </w:r>
    </w:p>
    <w:p>
      <w:pPr>
        <w:spacing w:after="120"/>
        <w:jc w:val="both"/>
      </w:pPr>
      <w:r>
        <w:rPr>
          <w:sz w:val="22"/>
          <w:szCs w:val="22"/>
        </w:rPr>
        <w:t xml:space="preserve">de las acciones que se adopten en el ámbito de la Justicia Penal</w:t>
      </w:r>
    </w:p>
    <w:p>
      <w:pPr>
        <w:spacing w:after="120"/>
        <w:jc w:val="both"/>
      </w:pPr>
      <w:r>
        <w:rPr>
          <w:sz w:val="22"/>
          <w:szCs w:val="22"/>
        </w:rPr>
        <w:t xml:space="preserve">competente.</w:t>
      </w:r>
    </w:p>
    <w:p>
      <w:pPr>
        <w:spacing w:after="120"/>
        <w:jc w:val="both"/>
      </w:pPr>
      <w:r>
        <w:rPr>
          <w:sz w:val="22"/>
          <w:szCs w:val="22"/>
        </w:rPr>
        <w:t xml:space="preserve">69.8 (Responsabilidad solidaria de las Intendencias Departamentales)</w:t>
      </w:r>
    </w:p>
    <w:p>
      <w:pPr>
        <w:spacing w:after="120"/>
        <w:jc w:val="both"/>
      </w:pPr>
      <w:r>
        <w:rPr>
          <w:sz w:val="22"/>
          <w:szCs w:val="22"/>
        </w:rPr>
        <w:t xml:space="preserve">La omisión sin causa justificada de las Intendencias Departamentales</w:t>
      </w:r>
    </w:p>
    <w:p>
      <w:pPr>
        <w:spacing w:after="120"/>
        <w:jc w:val="both"/>
      </w:pPr>
      <w:r>
        <w:rPr>
          <w:sz w:val="22"/>
          <w:szCs w:val="22"/>
        </w:rPr>
        <w:t xml:space="preserve">en ejecutar los actos u operaciones materiales a que estén obligadas</w:t>
      </w:r>
    </w:p>
    <w:p>
      <w:pPr>
        <w:spacing w:after="120"/>
        <w:jc w:val="both"/>
      </w:pPr>
      <w:r>
        <w:rPr>
          <w:sz w:val="22"/>
          <w:szCs w:val="22"/>
        </w:rPr>
        <w:t xml:space="preserve">legalmente para prevenir la ocupación de un asentamiento irregular,</w:t>
      </w:r>
    </w:p>
    <w:p>
      <w:pPr>
        <w:spacing w:after="120"/>
        <w:jc w:val="both"/>
      </w:pPr>
      <w:r>
        <w:rPr>
          <w:sz w:val="22"/>
          <w:szCs w:val="22"/>
        </w:rPr>
        <w:t xml:space="preserve">ante el requerimiento formal realizado por el Poder Ejecutivo, las</w:t>
      </w:r>
    </w:p>
    <w:p>
      <w:pPr>
        <w:spacing w:after="120"/>
        <w:jc w:val="both"/>
      </w:pPr>
      <w:r>
        <w:rPr>
          <w:sz w:val="22"/>
          <w:szCs w:val="22"/>
        </w:rPr>
        <w:t xml:space="preserve">hará solidariamente responsables de los costos que se generen al Poder</w:t>
      </w:r>
    </w:p>
    <w:p>
      <w:pPr>
        <w:spacing w:after="120"/>
        <w:jc w:val="both"/>
      </w:pPr>
      <w:r>
        <w:rPr>
          <w:sz w:val="22"/>
          <w:szCs w:val="22"/>
        </w:rPr>
        <w:t xml:space="preserve">Ejecutivo en el procedimiento de realojo.</w:t>
      </w:r>
    </w:p>
    <w:p>
      <w:pPr>
        <w:spacing w:after="120"/>
        <w:jc w:val="both"/>
      </w:pPr>
      <w:r>
        <w:rPr>
          <w:sz w:val="22"/>
          <w:szCs w:val="22"/>
        </w:rPr>
        <w:t xml:space="preserve">El cobro de los costos previstos en el inciso anterior se deberá</w:t>
      </w:r>
    </w:p>
    <w:p>
      <w:pPr>
        <w:spacing w:after="120"/>
        <w:jc w:val="both"/>
      </w:pPr>
      <w:r>
        <w:rPr>
          <w:sz w:val="22"/>
          <w:szCs w:val="22"/>
        </w:rPr>
        <w:t xml:space="preserve">ejercitar por la vía administrativa, a cuyos efectos se realizará una</w:t>
      </w:r>
    </w:p>
    <w:p>
      <w:pPr>
        <w:spacing w:after="120"/>
        <w:jc w:val="both"/>
      </w:pPr>
      <w:r>
        <w:rPr>
          <w:sz w:val="22"/>
          <w:szCs w:val="22"/>
        </w:rPr>
        <w:t xml:space="preserve">instancia de conciliación ante la Comisión Sectorial de</w:t>
      </w:r>
    </w:p>
    <w:p>
      <w:pPr>
        <w:spacing w:after="120"/>
        <w:jc w:val="both"/>
      </w:pPr>
      <w:r>
        <w:rPr>
          <w:sz w:val="22"/>
          <w:szCs w:val="22"/>
        </w:rPr>
        <w:t xml:space="preserve">Descentralización, que será presupuesto necesario para promover</w:t>
      </w:r>
    </w:p>
    <w:p>
      <w:pPr>
        <w:spacing w:after="120"/>
        <w:jc w:val="both"/>
      </w:pPr>
      <w:r>
        <w:rPr>
          <w:sz w:val="22"/>
          <w:szCs w:val="22"/>
        </w:rPr>
        <w:t xml:space="preserve">cualquier acción judicial tendiente a su cobro, sin perjuicio de las</w:t>
      </w:r>
    </w:p>
    <w:p>
      <w:pPr>
        <w:spacing w:after="120"/>
        <w:jc w:val="both"/>
      </w:pPr>
      <w:r>
        <w:rPr>
          <w:sz w:val="22"/>
          <w:szCs w:val="22"/>
        </w:rPr>
        <w:t xml:space="preserve">normas procesales que fueran de aplicación.</w:t>
      </w:r>
    </w:p>
    <w:p>
      <w:pPr>
        <w:spacing w:after="120"/>
        <w:jc w:val="both"/>
      </w:pPr>
      <w:r>
        <w:rPr>
          <w:sz w:val="22"/>
          <w:szCs w:val="22"/>
        </w:rPr>
        <w:t xml:space="preserve">De la misma forma aquellas personas públicas estatales y no estatales</w:t>
      </w:r>
    </w:p>
    <w:p>
      <w:pPr>
        <w:spacing w:after="120"/>
        <w:jc w:val="both"/>
      </w:pPr>
      <w:r>
        <w:rPr>
          <w:sz w:val="22"/>
          <w:szCs w:val="22"/>
        </w:rPr>
        <w:t xml:space="preserve">que omitan la debida diligencia en la guarda de los bienes inmuebles</w:t>
      </w:r>
    </w:p>
    <w:p>
      <w:pPr>
        <w:spacing w:after="120"/>
        <w:jc w:val="both"/>
      </w:pPr>
      <w:r>
        <w:rPr>
          <w:sz w:val="22"/>
          <w:szCs w:val="22"/>
        </w:rPr>
        <w:t xml:space="preserve">de su propiedad o en su posesión o que estén bajo su cargo y toleren</w:t>
      </w:r>
    </w:p>
    <w:p>
      <w:pPr>
        <w:spacing w:after="120"/>
        <w:jc w:val="both"/>
      </w:pPr>
      <w:r>
        <w:rPr>
          <w:sz w:val="22"/>
          <w:szCs w:val="22"/>
        </w:rPr>
        <w:t xml:space="preserve">por acción u omisión la ocupación de los mismos o la instalación en</w:t>
      </w:r>
    </w:p>
    <w:p>
      <w:pPr>
        <w:spacing w:after="120"/>
        <w:jc w:val="both"/>
      </w:pPr>
      <w:r>
        <w:rPr>
          <w:sz w:val="22"/>
          <w:szCs w:val="22"/>
        </w:rPr>
        <w:t xml:space="preserve">ellos de asentamientos irregulares, serán también solidariamente</w:t>
      </w:r>
    </w:p>
    <w:p>
      <w:pPr>
        <w:spacing w:after="120"/>
        <w:jc w:val="both"/>
      </w:pPr>
      <w:r>
        <w:rPr>
          <w:sz w:val="22"/>
          <w:szCs w:val="22"/>
        </w:rPr>
        <w:t xml:space="preserve">responsables de los costos en los que el Poder Ejecutivo incurra para</w:t>
      </w:r>
    </w:p>
    <w:p>
      <w:pPr>
        <w:spacing w:after="120"/>
        <w:jc w:val="both"/>
      </w:pPr>
      <w:r>
        <w:rPr>
          <w:sz w:val="22"/>
          <w:szCs w:val="22"/>
        </w:rPr>
        <w:t xml:space="preserve">su realojo.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19.996 de 03/11/2021 artículo </w:t>
      </w:r>
      <w:hyperlink w:history="1" r:id="rIdzd9st74xwnjz3mpl1qqrv">
        <w:r>
          <w:rPr>
            <w:rStyle w:val="Hyperlink"/>
            <w:rFonts w:ascii="Arial" w:cs="Arial" w:eastAsia="Arial" w:hAnsi="Arial"/>
            <w:sz w:val="17"/>
            <w:szCs w:val="17"/>
          </w:rPr>
          <w:t xml:space="preserve">235</w:t>
        </w:r>
      </w:hyperlink>
      <w:r>
        <w:rPr>
          <w:rFonts w:ascii="Arial" w:cs="Arial" w:eastAsia="Arial" w:hAnsi="Arial"/>
          <w:color w:val="555555"/>
          <w:sz w:val="17"/>
          <w:szCs w:val="17"/>
        </w:rPr>
        <w:t xml:space="preserve">.
Ver vigencia:
 Ley Nº 19.996 de 03/11/2021 artículo </w:t>
      </w:r>
      <w:hyperlink w:history="1" r:id="rIdwvqfr9haymiuritiffk-m">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Ley Nº 19.355 de 19/12/2015 artículo </w:t>
      </w:r>
      <w:hyperlink w:history="1" r:id="rIdotk-ixtzptpbfawoohgjv">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Redacción dada anteriormente por: Ley Nº 19.355 de 19/12/2015 artículo 
</w:t>
      </w:r>
      <w:hyperlink w:history="1" r:id="rIdvrpse_3hqs6w9bk-lfqtq">
        <w:r>
          <w:rPr>
            <w:rStyle w:val="Hyperlink"/>
            <w:rFonts w:ascii="Arial" w:cs="Arial" w:eastAsia="Arial" w:hAnsi="Arial"/>
            <w:sz w:val="17"/>
            <w:szCs w:val="17"/>
          </w:rPr>
          <w:t xml:space="preserve">489</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19.355 de 19/12/2015 artículo </w:t>
      </w:r>
      <w:hyperlink w:history="1" r:id="rIdwksbi9ewi8a4w5mdhqz5e">
        <w:r>
          <w:rPr>
            <w:rStyle w:val="Hyperlink"/>
            <w:rFonts w:ascii="Arial" w:cs="Arial" w:eastAsia="Arial" w:hAnsi="Arial"/>
            <w:sz w:val="17"/>
            <w:szCs w:val="17"/>
          </w:rPr>
          <w:t xml:space="preserve">489</w:t>
        </w:r>
      </w:hyperlink>
      <w:r>
        <w:rPr>
          <w:rFonts w:ascii="Arial" w:cs="Arial" w:eastAsia="Arial" w:hAnsi="Arial"/>
          <w:color w:val="555555"/>
          <w:sz w:val="17"/>
          <w:szCs w:val="17"/>
        </w:rPr>
        <w:t xml:space="preserve">,
 Ley Nº 18.308 de 18/06/2008 artículo </w:t>
      </w:r>
      <w:hyperlink w:history="1" r:id="rIdru2cbwvq3qndbvkwjh_g9">
        <w:r>
          <w:rPr>
            <w:rStyle w:val="Hyperlink"/>
            <w:rFonts w:ascii="Arial" w:cs="Arial" w:eastAsia="Arial" w:hAnsi="Arial"/>
            <w:sz w:val="17"/>
            <w:szCs w:val="17"/>
          </w:rPr>
          <w:t xml:space="preserve">69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70</w:t>
      </w:r>
      <w:r>
        <w:rPr>
          <w:rFonts w:ascii="Arial" w:cs="Arial" w:eastAsia="Arial" w:hAnsi="Arial"/>
          <w:color w:val="555555"/>
          <w:sz w:val="22"/>
          <w:szCs w:val="22"/>
        </w:rPr>
        <w:t xml:space="preserve"> · Ocupación ilegal de inmuebles con fines de asentamiento humano</w:t>
      </w:r>
    </w:p>
    <w:p>
      <w:pPr>
        <w:spacing w:after="120"/>
        <w:jc w:val="both"/>
      </w:pPr>
      <w:r>
        <w:rPr>
          <w:sz w:val="22"/>
          <w:szCs w:val="22"/>
        </w:rPr>
        <w:t xml:space="preserve">(Ocupación ilegal de inmuebles con fines de asentamiento humano).- Se faculta al Ministerio de Vivienda, Ordenamiento Territorial y Medio Ambiente (MVOTMA), sin perjuicio de las competencias departamentales existentes, a aplicar las sanciones que establezca la legislación y la reglamentación a quien promueva o incentive la ocupación ilegal de inmuebles a los fines de asentamiento humano, en desconocimiento de lo dispuesto en los instrumentos de ordenamiento territorial establecidos por la presente ley.</w:t>
      </w:r>
    </w:p>
    <w:p>
      <w:pPr>
        <w:spacing w:after="120"/>
        <w:jc w:val="both"/>
      </w:pPr>
      <w:r>
        <w:rPr>
          <w:sz w:val="22"/>
          <w:szCs w:val="22"/>
        </w:rPr>
        <w:t xml:space="preserve">Las empresas públicas prestadoras de servicios de agua potable, energía eléctrica, telefonía y transmisión de datos, deberán requerir informe previo del Ministerio de Vivienda, Ordenamiento Territorial y Medio Ambiente (MVOTMA) para brindar servicios a viviendas o conjuntos de viviendas que formen parte de asentamientos humanos ilegales.</w:t>
      </w:r>
    </w:p>
    <w:p>
      <w:pPr>
        <w:pStyle w:val="Articulo"/>
        <w:keepNext/>
        <w:spacing w:after="120" w:before="280"/>
      </w:pPr>
      <w:r>
        <w:rPr>
          <w:rFonts w:ascii="Arial" w:cs="Arial" w:eastAsia="Arial" w:hAnsi="Arial"/>
          <w:b/>
          <w:bCs/>
          <w:color w:val="14213D"/>
          <w:sz w:val="22"/>
          <w:szCs w:val="22"/>
        </w:rPr>
        <w:t xml:space="preserve">Artículo 71</w:t>
      </w:r>
      <w:r>
        <w:rPr>
          <w:rFonts w:ascii="Arial" w:cs="Arial" w:eastAsia="Arial" w:hAnsi="Arial"/>
          <w:color w:val="555555"/>
          <w:sz w:val="22"/>
          <w:szCs w:val="22"/>
        </w:rPr>
        <w:t xml:space="preserve"> · Estímulos y sanciones. Garantías</w:t>
      </w:r>
    </w:p>
    <w:p>
      <w:pPr>
        <w:spacing w:after="120"/>
        <w:jc w:val="both"/>
      </w:pPr>
      <w:r>
        <w:rPr>
          <w:sz w:val="22"/>
          <w:szCs w:val="22"/>
        </w:rPr>
        <w:t xml:space="preserve">(Estímulos y sanciones. Garantías).- El Poder Ejecutivo y los Gobiernos Departamentales, a través de los mecanismos que correspondan, podrán establecer incentivos a efectos de impulsar las acciones y determinaciones de los instrumentos de ordenamiento territorial previstos por la presente ley.</w:t>
      </w:r>
    </w:p>
    <w:p>
      <w:pPr>
        <w:spacing w:after="120"/>
        <w:jc w:val="both"/>
      </w:pPr>
      <w:r>
        <w:rPr>
          <w:sz w:val="22"/>
          <w:szCs w:val="22"/>
        </w:rPr>
        <w:t xml:space="preserve">Toda obra, modificación predial, así como todo acto o hecho que se traduzca en la alteración física del territorio, hecha sin haberse obtenido el permiso respectivo o en contravención de los instrumentos de ordenamiento territorial, será sancionada sin perjuicio de la nulidad, con una multa de 50 UR (cincuenta unidades reajustables) a 50.000 UR (cincuenta mil unidades reajustables), de acuerdo al carácter o gravedad de la misma, pudiendo además la autoridad competente tomar las medidas necesarias a efectos de recomponer la situación anterior con cargo al infractor.</w:t>
      </w:r>
    </w:p>
    <w:p>
      <w:pPr>
        <w:spacing w:after="120"/>
        <w:jc w:val="both"/>
      </w:pPr>
      <w:r>
        <w:rPr>
          <w:sz w:val="22"/>
          <w:szCs w:val="22"/>
        </w:rPr>
        <w:t xml:space="preserve">Los recursos administrativos contra el acto que disponga la demolición o eliminación de las modificaciones prediales efectuadas sin el permiso correspondiente, tendrán efecto suspensivo, pero la autoridad competente podrá, por resolución fundada, hacer cesar la suspensión.</w:t>
      </w:r>
    </w:p>
    <w:p>
      <w:pPr>
        <w:pStyle w:val="Heading2"/>
      </w:pPr>
      <w:r>
        <w:t xml:space="preserve">TÍTULO VI - PARTICIPACION SOCIAL EN EL ORDENAMIENTO TERRITORIAL</w:t>
      </w:r>
    </w:p>
    <w:p>
      <w:pPr>
        <w:pStyle w:val="Articulo"/>
        <w:keepNext/>
        <w:spacing w:after="120" w:before="280"/>
      </w:pPr>
      <w:r>
        <w:rPr>
          <w:rFonts w:ascii="Arial" w:cs="Arial" w:eastAsia="Arial" w:hAnsi="Arial"/>
          <w:b/>
          <w:bCs/>
          <w:color w:val="14213D"/>
          <w:sz w:val="22"/>
          <w:szCs w:val="22"/>
        </w:rPr>
        <w:t xml:space="preserve">Artículo 72</w:t>
      </w:r>
      <w:r>
        <w:rPr>
          <w:rFonts w:ascii="Arial" w:cs="Arial" w:eastAsia="Arial" w:hAnsi="Arial"/>
          <w:color w:val="555555"/>
          <w:sz w:val="22"/>
          <w:szCs w:val="22"/>
        </w:rPr>
        <w:t xml:space="preserve"> · Promoción de la participación social</w:t>
      </w:r>
    </w:p>
    <w:p>
      <w:pPr>
        <w:spacing w:after="120"/>
        <w:jc w:val="both"/>
      </w:pPr>
      <w:r>
        <w:rPr>
          <w:sz w:val="22"/>
          <w:szCs w:val="22"/>
        </w:rPr>
        <w:t xml:space="preserve">(Promoción de la participación social).- Las instituciones públicas promoverán la participación social utilizando como mínimo, los instrumentos específicos que se establecen por la presente ley.</w:t>
      </w:r>
    </w:p>
    <w:p>
      <w:pPr>
        <w:spacing w:after="120"/>
        <w:jc w:val="both"/>
      </w:pPr>
      <w:r>
        <w:rPr>
          <w:sz w:val="22"/>
          <w:szCs w:val="22"/>
        </w:rPr>
        <w:t xml:space="preserve">Toda persona interesada podrá realizar propuestas, con la debida fundamentación, a los efectos de su consideración por las instituciones públicas competentes en los instrumentos de ordenamiento territorial.</w:t>
      </w:r>
    </w:p>
    <w:p>
      <w:pPr>
        <w:pStyle w:val="Articulo"/>
        <w:keepNext/>
        <w:spacing w:after="120" w:before="280"/>
      </w:pPr>
      <w:r>
        <w:rPr>
          <w:rFonts w:ascii="Arial" w:cs="Arial" w:eastAsia="Arial" w:hAnsi="Arial"/>
          <w:b/>
          <w:bCs/>
          <w:color w:val="14213D"/>
          <w:sz w:val="22"/>
          <w:szCs w:val="22"/>
        </w:rPr>
        <w:t xml:space="preserve">Artículo 73</w:t>
      </w:r>
      <w:r>
        <w:rPr>
          <w:rFonts w:ascii="Arial" w:cs="Arial" w:eastAsia="Arial" w:hAnsi="Arial"/>
          <w:color w:val="555555"/>
          <w:sz w:val="22"/>
          <w:szCs w:val="22"/>
        </w:rPr>
        <w:t xml:space="preserve"> · Comisión Asesora</w:t>
      </w:r>
    </w:p>
    <w:p>
      <w:pPr>
        <w:spacing w:after="120"/>
        <w:jc w:val="both"/>
      </w:pPr>
      <w:r>
        <w:rPr>
          <w:sz w:val="22"/>
          <w:szCs w:val="22"/>
        </w:rPr>
        <w:t xml:space="preserve">(Comisión Asesora).- Se comete al Ministerio de Vivienda, Ordenamiento Territorial y Medio Ambiente (MVOTMA) la constitución de una Comisión Asesora de Ordenamiento Territorial, a efectos de incorporar las distintas visiones a las políticas del sector.</w:t>
      </w:r>
    </w:p>
    <w:p>
      <w:pPr>
        <w:spacing w:after="120"/>
        <w:jc w:val="both"/>
      </w:pPr>
      <w:r>
        <w:rPr>
          <w:sz w:val="22"/>
          <w:szCs w:val="22"/>
        </w:rPr>
        <w:t xml:space="preserve">Será presidida por el Director Nacional de Ordenamiento Territorial y estará integrada por delegados de instituciones públicas y privadas y representantes de la sociedad civil. Estarán comprendidos los Ministerios con competencia en la materia, la Oficina de Planeamiento y Presupuesto, el Congreso de Intendentes, los Entes Autónomos y Servicios Descentralizados, la Universidad de la República, las gremiales de trabajadores, empresarios y profesionales, organizaciones no gubernamentales, otras instituciones de investigación y enseñanza, los Directores Nacionales de Medio Ambiente, de Aguas y Saneamiento y de Vivienda, así como toda otra entidad afín que incorpore la reglamentación.</w:t>
      </w:r>
    </w:p>
    <w:p>
      <w:pPr>
        <w:spacing w:after="120"/>
        <w:jc w:val="both"/>
      </w:pPr>
      <w:r>
        <w:rPr>
          <w:sz w:val="22"/>
          <w:szCs w:val="22"/>
        </w:rPr>
        <w:t xml:space="preserve">Esta Comisión podrá prestar su asesoramiento en todos los asuntos de competencia de la Dirección Nacional de Ordenamiento Territorial a solicitud de ésta o por iniciativa de cualquiera de sus miembros.</w:t>
      </w:r>
    </w:p>
    <w:p>
      <w:pPr>
        <w:spacing w:after="120"/>
        <w:jc w:val="both"/>
      </w:pPr>
      <w:r>
        <w:rPr>
          <w:sz w:val="22"/>
          <w:szCs w:val="22"/>
        </w:rPr>
        <w:t xml:space="preserve">El Ministerio de Vivienda, Ordenamiento Territorial y Medio Ambiente (MVOTMA) propondrá al Poder Ejecutivo la reglamentación correspondiente a su funcionamiento e integración.</w:t>
      </w:r>
    </w:p>
    <w:p>
      <w:pPr>
        <w:spacing w:after="120"/>
        <w:jc w:val="both"/>
      </w:pPr>
      <w:r>
        <w:rPr>
          <w:sz w:val="22"/>
          <w:szCs w:val="22"/>
        </w:rPr>
        <w:t xml:space="preserve">Los Gobiernos Departamentales podrán crear comisiones asesoras con participación de instituciones públicas y privadas y representantes de la sociedad civil, con el cometido de realizar aportes en el proceso de elaboración, ejecución y seguimiento de los instrumentos de ordenamiento territorial departamentales.</w:t>
      </w:r>
    </w:p>
    <w:p>
      <w:pPr>
        <w:pStyle w:val="Heading2"/>
      </w:pPr>
      <w:r>
        <w:t xml:space="preserve">TÍTULO VII - COORDINACION INTERINSTITUCIONAL PARA EL ORDENAMIENTO TERRITORIAL</w:t>
      </w:r>
    </w:p>
    <w:p>
      <w:pPr>
        <w:pStyle w:val="Articulo"/>
        <w:keepNext/>
        <w:spacing w:after="120" w:before="280"/>
      </w:pPr>
      <w:r>
        <w:rPr>
          <w:rFonts w:ascii="Arial" w:cs="Arial" w:eastAsia="Arial" w:hAnsi="Arial"/>
          <w:b/>
          <w:bCs/>
          <w:color w:val="14213D"/>
          <w:sz w:val="22"/>
          <w:szCs w:val="22"/>
        </w:rPr>
        <w:t xml:space="preserve">Artículo 74</w:t>
      </w:r>
      <w:r>
        <w:rPr>
          <w:rFonts w:ascii="Arial" w:cs="Arial" w:eastAsia="Arial" w:hAnsi="Arial"/>
          <w:color w:val="555555"/>
          <w:sz w:val="22"/>
          <w:szCs w:val="22"/>
        </w:rPr>
        <w:t xml:space="preserve"> · Coordinación entre la actividad departamental, regional y nacional</w:t>
      </w:r>
    </w:p>
    <w:p>
      <w:pPr>
        <w:spacing w:after="120"/>
        <w:jc w:val="both"/>
      </w:pPr>
      <w:r>
        <w:rPr>
          <w:sz w:val="22"/>
          <w:szCs w:val="22"/>
        </w:rPr>
        <w:t xml:space="preserve">(Coordinación entre la actividad departamental, regional y nacional).- Los Gobiernos Departamentales con la colaboración del Ministerio de Vivienda, Ordenamiento Territorial y Medio Ambiente (MVOTMA), a través de la Dirección Nacional de Ordenamiento Territorial, deberán asegurar que exista la debida coordinación y compatibilidad entre los diversos instrumentos del ámbito departamental entre sí y con los instrumentos de los ámbitos nacional y regional en lo aplicable.</w:t>
      </w:r>
    </w:p>
    <w:p>
      <w:pPr>
        <w:spacing w:after="120"/>
        <w:jc w:val="both"/>
      </w:pPr>
      <w:r>
        <w:rPr>
          <w:sz w:val="22"/>
          <w:szCs w:val="22"/>
        </w:rPr>
        <w:t xml:space="preserve">Se establecerán procedimientos de elaboración concertada, a efectos de coordinar y compatibilizar en una fase temprana de su definición, los instrumentos sectoriales que tengan relevancia territorial generados por los actores públicos, en la forma y procedimiento que establezca la reglamentación.</w:t>
      </w:r>
    </w:p>
    <w:p>
      <w:pPr>
        <w:pStyle w:val="Articulo"/>
        <w:keepNext/>
        <w:spacing w:after="120" w:before="280"/>
      </w:pPr>
      <w:r>
        <w:rPr>
          <w:rFonts w:ascii="Arial" w:cs="Arial" w:eastAsia="Arial" w:hAnsi="Arial"/>
          <w:b/>
          <w:bCs/>
          <w:color w:val="14213D"/>
          <w:sz w:val="22"/>
          <w:szCs w:val="22"/>
        </w:rPr>
        <w:t xml:space="preserve">Artículo 75</w:t>
      </w:r>
      <w:r>
        <w:rPr>
          <w:rFonts w:ascii="Arial" w:cs="Arial" w:eastAsia="Arial" w:hAnsi="Arial"/>
          <w:color w:val="555555"/>
          <w:sz w:val="22"/>
          <w:szCs w:val="22"/>
        </w:rPr>
        <w:t xml:space="preserve"> · Comité Nacional de Ordenamiento Territorial</w:t>
      </w:r>
    </w:p>
    <w:p>
      <w:pPr>
        <w:spacing w:after="120"/>
        <w:jc w:val="both"/>
      </w:pPr>
      <w:r>
        <w:rPr>
          <w:sz w:val="22"/>
          <w:szCs w:val="22"/>
        </w:rPr>
        <w:t xml:space="preserve">(Comité Nacional de Ordenamiento Territorial).- Créase el Comité Nacional de Ordenamiento Territorial para la debida coordinación de las estrategias nacionales con incidencia en el territorio, el que será presidido por el Ministro de Vivienda, Ordenamiento Territorial y Medio Ambiente y estará integrado por: el Ministro de Transporte y Obras Públicas; el Ministro de Ganadería, Agricultura y Pesca; el Ministro de Industria, Energía y Minería; el Ministro de Turismo y Deporte; el Ministro de Defensa Nacional; el Ministro de Economía y Finanzas; el Director de la Oficina de Planeamiento y Presupuesto; y, el Presidente del Congreso de Intendentes.</w:t>
      </w:r>
    </w:p>
    <w:p>
      <w:pPr>
        <w:spacing w:after="120"/>
        <w:jc w:val="both"/>
      </w:pPr>
      <w:r>
        <w:rPr>
          <w:sz w:val="22"/>
          <w:szCs w:val="22"/>
        </w:rPr>
        <w:t xml:space="preserve">El Director Nacional de Ordenamiento Territorial ejercerá la Secretaría del Comité Nacional de Ordenamiento Territorial.</w:t>
      </w:r>
    </w:p>
    <w:p>
      <w:pPr>
        <w:spacing w:after="120"/>
        <w:jc w:val="both"/>
      </w:pPr>
      <w:r>
        <w:rPr>
          <w:sz w:val="22"/>
          <w:szCs w:val="22"/>
        </w:rPr>
        <w:t xml:space="preserve">Los Ministros podrán ser representados por el Subsecretario o el Director General de Secretaria del Ministerio correspondiente, el Director de la Oficina de Planeamiento y Presupuesto por el respectivo Subdirector y el Presidente del Congreso de Intendentes por sus Vicepresidentes.</w:t>
      </w:r>
    </w:p>
    <w:p>
      <w:pPr>
        <w:spacing w:after="120"/>
        <w:jc w:val="both"/>
      </w:pPr>
      <w:r>
        <w:rPr>
          <w:sz w:val="22"/>
          <w:szCs w:val="22"/>
        </w:rPr>
        <w:t xml:space="preserve">El Comité podrá requerir la integración temporal de otros Ministros o Intendentes cuando los asuntos a tratar refieran a las competencias de éstos.</w:t>
      </w:r>
    </w:p>
    <w:p>
      <w:pPr>
        <w:spacing w:after="120"/>
        <w:jc w:val="both"/>
      </w:pPr>
      <w:r>
        <w:rPr>
          <w:sz w:val="22"/>
          <w:szCs w:val="22"/>
        </w:rPr>
        <w:t xml:space="preserve">El Poder Ejecutivo podrá variar la composición del Comité cuando se modifique la estructura o competencias de los Ministerios.</w:t>
      </w:r>
    </w:p>
    <w:p>
      <w:pPr>
        <w:pStyle w:val="Articulo"/>
        <w:keepNext/>
        <w:spacing w:after="120" w:before="280"/>
      </w:pPr>
      <w:r>
        <w:rPr>
          <w:rFonts w:ascii="Arial" w:cs="Arial" w:eastAsia="Arial" w:hAnsi="Arial"/>
          <w:b/>
          <w:bCs/>
          <w:color w:val="14213D"/>
          <w:sz w:val="22"/>
          <w:szCs w:val="22"/>
        </w:rPr>
        <w:t xml:space="preserve">Artículo 76</w:t>
      </w:r>
      <w:r>
        <w:rPr>
          <w:rFonts w:ascii="Arial" w:cs="Arial" w:eastAsia="Arial" w:hAnsi="Arial"/>
          <w:color w:val="555555"/>
          <w:sz w:val="22"/>
          <w:szCs w:val="22"/>
        </w:rPr>
        <w:t xml:space="preserve"> · Cometidos del Comité Nacional de Ordenamiento Territorial</w:t>
      </w:r>
    </w:p>
    <w:p>
      <w:pPr>
        <w:spacing w:after="120"/>
        <w:jc w:val="both"/>
      </w:pPr>
      <w:r>
        <w:rPr>
          <w:sz w:val="22"/>
          <w:szCs w:val="22"/>
        </w:rPr>
        <w:t xml:space="preserve">(Cometidos del Comité Nacional de Ordenamiento Territorial).- Corresponde al Comité Nacional de Ordenamiento Territorial:</w:t>
      </w:r>
    </w:p>
    <w:p>
      <w:pPr>
        <w:spacing w:after="120"/>
        <w:ind w:left="567"/>
        <w:jc w:val="both"/>
      </w:pPr>
      <w:r>
        <w:rPr>
          <w:sz w:val="22"/>
          <w:szCs w:val="22"/>
        </w:rPr>
        <w:t xml:space="preserve">a) Contribuir a la formulación de las Directrices Nacionales de</w:t>
      </w:r>
    </w:p>
    <w:p>
      <w:pPr>
        <w:spacing w:after="120"/>
        <w:jc w:val="both"/>
      </w:pPr>
      <w:r>
        <w:rPr>
          <w:sz w:val="22"/>
          <w:szCs w:val="22"/>
        </w:rPr>
        <w:t xml:space="preserve">Ordenamiento Territorial y Desarrollo Sostenible, así como los</w:t>
      </w:r>
    </w:p>
    <w:p>
      <w:pPr>
        <w:spacing w:after="120"/>
        <w:jc w:val="both"/>
      </w:pPr>
      <w:r>
        <w:rPr>
          <w:sz w:val="22"/>
          <w:szCs w:val="22"/>
        </w:rPr>
        <w:t xml:space="preserve">Programas Nacionales y efectuar sus seguimientos.</w:t>
      </w:r>
    </w:p>
    <w:p>
      <w:pPr>
        <w:spacing w:after="120"/>
        <w:ind w:left="567"/>
        <w:jc w:val="both"/>
      </w:pPr>
      <w:r>
        <w:rPr>
          <w:sz w:val="22"/>
          <w:szCs w:val="22"/>
        </w:rPr>
        <w:t xml:space="preserve">b) Pronunciarse sobre la correspondencia de los demás instrumentos de</w:t>
      </w:r>
    </w:p>
    <w:p>
      <w:pPr>
        <w:spacing w:after="120"/>
        <w:jc w:val="both"/>
      </w:pPr>
      <w:r>
        <w:rPr>
          <w:sz w:val="22"/>
          <w:szCs w:val="22"/>
        </w:rPr>
        <w:t xml:space="preserve">ordenamiento territorial a las Directrices Nacionales y dictaminar</w:t>
      </w:r>
    </w:p>
    <w:p>
      <w:pPr>
        <w:spacing w:after="120"/>
        <w:jc w:val="both"/>
      </w:pPr>
      <w:r>
        <w:rPr>
          <w:sz w:val="22"/>
          <w:szCs w:val="22"/>
        </w:rPr>
        <w:t xml:space="preserve">sobre la incidencia de ellos en los intereses nacionales.</w:t>
      </w:r>
    </w:p>
    <w:p>
      <w:pPr>
        <w:spacing w:after="120"/>
        <w:ind w:left="567"/>
        <w:jc w:val="both"/>
      </w:pPr>
      <w:r>
        <w:rPr>
          <w:sz w:val="22"/>
          <w:szCs w:val="22"/>
        </w:rPr>
        <w:t xml:space="preserve">c) Efectuar la declaración de interés nacional y urgente ejecución de</w:t>
      </w:r>
    </w:p>
    <w:p>
      <w:pPr>
        <w:spacing w:after="120"/>
        <w:jc w:val="both"/>
      </w:pPr>
      <w:r>
        <w:rPr>
          <w:sz w:val="22"/>
          <w:szCs w:val="22"/>
        </w:rPr>
        <w:t xml:space="preserve">las obras públicas promovidas por los órganos del Gobierno Nacional</w:t>
      </w:r>
    </w:p>
    <w:p>
      <w:pPr>
        <w:spacing w:after="120"/>
        <w:jc w:val="both"/>
      </w:pPr>
      <w:r>
        <w:rPr>
          <w:sz w:val="22"/>
          <w:szCs w:val="22"/>
        </w:rPr>
        <w:t xml:space="preserve">cuando éstas resulten incompatibles con cualquiera de los instrumentos</w:t>
      </w:r>
    </w:p>
    <w:p>
      <w:pPr>
        <w:spacing w:after="120"/>
        <w:jc w:val="both"/>
      </w:pPr>
      <w:r>
        <w:rPr>
          <w:sz w:val="22"/>
          <w:szCs w:val="22"/>
        </w:rPr>
        <w:t xml:space="preserve">de ordenamiento territorial, promoviendo su revisión.</w:t>
      </w:r>
    </w:p>
    <w:p>
      <w:pPr>
        <w:spacing w:after="120"/>
        <w:ind w:left="567"/>
        <w:jc w:val="both"/>
      </w:pPr>
      <w:r>
        <w:rPr>
          <w:sz w:val="22"/>
          <w:szCs w:val="22"/>
        </w:rPr>
        <w:t xml:space="preserve">d) Impulsar la información y la participación social en todos los</w:t>
      </w:r>
    </w:p>
    <w:p>
      <w:pPr>
        <w:spacing w:after="120"/>
        <w:jc w:val="both"/>
      </w:pPr>
      <w:r>
        <w:rPr>
          <w:sz w:val="22"/>
          <w:szCs w:val="22"/>
        </w:rPr>
        <w:t xml:space="preserve">procesos de ordenamiento territorial, a través de las formas que</w:t>
      </w:r>
    </w:p>
    <w:p>
      <w:pPr>
        <w:spacing w:after="120"/>
        <w:jc w:val="both"/>
      </w:pPr>
      <w:r>
        <w:rPr>
          <w:sz w:val="22"/>
          <w:szCs w:val="22"/>
        </w:rPr>
        <w:t xml:space="preserve">establece la presente ley y las que surjan de la reglamentación.</w:t>
      </w:r>
    </w:p>
    <w:p>
      <w:pPr>
        <w:spacing w:after="120"/>
        <w:ind w:left="567"/>
        <w:jc w:val="both"/>
      </w:pPr>
      <w:r>
        <w:rPr>
          <w:sz w:val="22"/>
          <w:szCs w:val="22"/>
        </w:rPr>
        <w:t xml:space="preserve">e) Pronunciarse sobre la adecuación de los grandes proyectos de</w:t>
      </w:r>
    </w:p>
    <w:p>
      <w:pPr>
        <w:spacing w:after="120"/>
        <w:jc w:val="both"/>
      </w:pPr>
      <w:r>
        <w:rPr>
          <w:sz w:val="22"/>
          <w:szCs w:val="22"/>
        </w:rPr>
        <w:t xml:space="preserve">infraestructura u otros a las Directrices y Programas Nacionales.</w:t>
      </w:r>
    </w:p>
    <w:p>
      <w:pPr>
        <w:spacing w:after="120"/>
        <w:ind w:left="567"/>
        <w:jc w:val="both"/>
      </w:pPr>
      <w:r>
        <w:rPr>
          <w:sz w:val="22"/>
          <w:szCs w:val="22"/>
        </w:rPr>
        <w:t xml:space="preserve">f) Guiar los estudios e intercambios para la complementación e</w:t>
      </w:r>
    </w:p>
    <w:p>
      <w:pPr>
        <w:spacing w:after="120"/>
        <w:jc w:val="both"/>
      </w:pPr>
      <w:r>
        <w:rPr>
          <w:sz w:val="22"/>
          <w:szCs w:val="22"/>
        </w:rPr>
        <w:t xml:space="preserve">integración física de las infraestructuras a nivel territorial con los</w:t>
      </w:r>
    </w:p>
    <w:p>
      <w:pPr>
        <w:spacing w:after="120"/>
        <w:jc w:val="both"/>
      </w:pPr>
      <w:r>
        <w:rPr>
          <w:sz w:val="22"/>
          <w:szCs w:val="22"/>
        </w:rPr>
        <w:t xml:space="preserve">países limítrofes y a nivel sudamericano.</w:t>
      </w:r>
    </w:p>
    <w:p>
      <w:pPr>
        <w:spacing w:after="120"/>
        <w:ind w:left="567"/>
        <w:jc w:val="both"/>
      </w:pPr>
      <w:r>
        <w:rPr>
          <w:sz w:val="22"/>
          <w:szCs w:val="22"/>
        </w:rPr>
        <w:t xml:space="preserve">g) Entender en todo otro tema con incidencia relevante en el ordenamiento</w:t>
      </w:r>
    </w:p>
    <w:p>
      <w:pPr>
        <w:spacing w:after="120"/>
        <w:jc w:val="both"/>
      </w:pPr>
      <w:r>
        <w:rPr>
          <w:sz w:val="22"/>
          <w:szCs w:val="22"/>
        </w:rPr>
        <w:t xml:space="preserve">del territorio que le encomiende el Poder Ejecutivo.</w:t>
      </w:r>
    </w:p>
    <w:p>
      <w:pPr>
        <w:pStyle w:val="Articulo"/>
        <w:keepNext/>
        <w:spacing w:after="120" w:before="280"/>
      </w:pPr>
      <w:r>
        <w:rPr>
          <w:rFonts w:ascii="Arial" w:cs="Arial" w:eastAsia="Arial" w:hAnsi="Arial"/>
          <w:b/>
          <w:bCs/>
          <w:color w:val="14213D"/>
          <w:sz w:val="22"/>
          <w:szCs w:val="22"/>
        </w:rPr>
        <w:t xml:space="preserve">Artículo 77</w:t>
      </w:r>
      <w:r>
        <w:rPr>
          <w:rFonts w:ascii="Arial" w:cs="Arial" w:eastAsia="Arial" w:hAnsi="Arial"/>
          <w:color w:val="555555"/>
          <w:sz w:val="22"/>
          <w:szCs w:val="22"/>
        </w:rPr>
        <w:t xml:space="preserve"> · Coordinación de las obras públicas en el marco de la planificación territorial</w:t>
      </w:r>
    </w:p>
    <w:p>
      <w:pPr>
        <w:spacing w:after="120"/>
        <w:jc w:val="both"/>
      </w:pPr>
      <w:r>
        <w:rPr>
          <w:sz w:val="22"/>
          <w:szCs w:val="22"/>
        </w:rPr>
        <w:t xml:space="preserve">(Coordinación de las obras públicas en el marco de la planificación territorial).- Las obras públicas proyectadas por todo órgano del Estado o persona pública estatal o no, bajo cualquier modalidad o naturaleza, deberán ajustarse y compatibilizarse con las disposiciones de los instrumentos de ordenamiento territorial.</w:t>
      </w:r>
    </w:p>
    <w:p>
      <w:pPr>
        <w:spacing w:after="120"/>
        <w:jc w:val="both"/>
      </w:pPr>
      <w:r>
        <w:rPr>
          <w:sz w:val="22"/>
          <w:szCs w:val="22"/>
        </w:rPr>
        <w:t xml:space="preserve">Dichas obras serán autorizadas, sin perjuicio de otros permisos correspondientes, de acuerdo con la normativa aplicable, por el Gobierno Departamental respectivo.</w:t>
      </w:r>
    </w:p>
    <w:p>
      <w:pPr>
        <w:spacing w:after="120"/>
        <w:jc w:val="both"/>
      </w:pPr>
      <w:r>
        <w:rPr>
          <w:sz w:val="22"/>
          <w:szCs w:val="22"/>
        </w:rPr>
        <w:t xml:space="preserve">En el caso que la solicitud fuere denegada por ser incompatible con el instrumento de ordenamiento territorial aplicable, el Comité Nacional de Ordenamiento Territorial podrá decidir sobre la efectiva materialización del proyecto, previa declaración de interés nacional y urgente ejecución. En este caso, el acuerdo del Comité determinará la suspensión parcial de aquellas determinaciones del instrumento que se opongan a la ejecución y generará el deber de iniciar el procedimiento para modificar dicho instrumento a fin de incorporar las previsiones oportunas que determinen la incidencia del proyecto, sin perjuicio de lo establecido al efecto sobre solución de divergencias.</w:t>
      </w:r>
    </w:p>
    <w:p>
      <w:pPr>
        <w:spacing w:after="120"/>
        <w:jc w:val="both"/>
      </w:pPr>
      <w:r>
        <w:rPr>
          <w:sz w:val="22"/>
          <w:szCs w:val="22"/>
        </w:rPr>
        <w:t xml:space="preserve">El Poder Ejecutivo se abstendrá de promover la declaración prevista y de ejecutar el proyecto, si el mismo resulta incompatible con las Directrices Nacionales o las Estrategias Regionales vigentes y aplicables.</w:t>
      </w:r>
    </w:p>
    <w:p>
      <w:pPr>
        <w:spacing w:after="120"/>
        <w:jc w:val="both"/>
      </w:pPr>
      <w:r>
        <w:rPr>
          <w:sz w:val="22"/>
          <w:szCs w:val="22"/>
        </w:rPr>
        <w:t xml:space="preserve">La ejecución de las obras vinculadas a la defensa nacional se ajustará a lo dispuesto en su legislación específica.</w:t>
      </w:r>
    </w:p>
    <w:p>
      <w:pPr>
        <w:pStyle w:val="Articulo"/>
        <w:keepNext/>
        <w:spacing w:after="120" w:before="280"/>
      </w:pPr>
      <w:r>
        <w:rPr>
          <w:rFonts w:ascii="Arial" w:cs="Arial" w:eastAsia="Arial" w:hAnsi="Arial"/>
          <w:b/>
          <w:bCs/>
          <w:color w:val="14213D"/>
          <w:sz w:val="22"/>
          <w:szCs w:val="22"/>
        </w:rPr>
        <w:t xml:space="preserve">Artículo 78</w:t>
      </w:r>
      <w:r>
        <w:rPr>
          <w:rFonts w:ascii="Arial" w:cs="Arial" w:eastAsia="Arial" w:hAnsi="Arial"/>
          <w:color w:val="555555"/>
          <w:sz w:val="22"/>
          <w:szCs w:val="22"/>
        </w:rPr>
        <w:t xml:space="preserve"> · Inventario Nacional de Ordenamiento Territorial. Registro de Instrumentos</w:t>
      </w:r>
    </w:p>
    <w:p>
      <w:pPr>
        <w:spacing w:after="120"/>
        <w:jc w:val="both"/>
      </w:pPr>
      <w:r>
        <w:rPr>
          <w:sz w:val="22"/>
          <w:szCs w:val="22"/>
        </w:rPr>
        <w:t xml:space="preserve">(Inventario Nacional de Ordenamiento Territorial. Registro de Instrumentos).- Créase el Inventario Nacional de Ordenamiento Territorial que funcionará en la órbita de la Dirección Nacional de Ordenamiento Territorial del Ministerio de Vivienda, Ordenamiento Territorial y Medio Ambiente (MVOTMA), con el fin de facilitar la coordinación interinstitucional y compatibilizar políticas, programas, planes y proyectos de relevancia territorial.</w:t>
      </w:r>
    </w:p>
    <w:p>
      <w:pPr>
        <w:spacing w:after="120"/>
        <w:jc w:val="both"/>
      </w:pPr>
      <w:r>
        <w:rPr>
          <w:sz w:val="22"/>
          <w:szCs w:val="22"/>
        </w:rPr>
        <w:t xml:space="preserve">Los responsables de la elaboración de los instrumentos de ordenamiento territorial previstos en la presente ley y de los planes, programas y proyectos de relevancia territorial a desarrollarse por organismos del Gobierno Nacional o de los departamentos o de los entes y servicios del Estado, deberán inscribir los mismos en el mencionado Inventario en los plazos y condiciones que prevea la reglamentación.</w:t>
      </w:r>
    </w:p>
    <w:p>
      <w:pPr>
        <w:spacing w:after="120"/>
        <w:jc w:val="both"/>
      </w:pPr>
      <w:r>
        <w:rPr>
          <w:sz w:val="22"/>
          <w:szCs w:val="22"/>
        </w:rPr>
        <w:t xml:space="preserve">Los planes, instrumentos, programas y proyectos vigentes con anterioridad a la presente ley se deberán inscribir en un plazo de 180 (ciento ochenta) días de aprobada su reglamentación.</w:t>
      </w:r>
    </w:p>
    <w:p>
      <w:pPr>
        <w:spacing w:after="120"/>
        <w:jc w:val="both"/>
      </w:pPr>
      <w:r>
        <w:rPr>
          <w:sz w:val="22"/>
          <w:szCs w:val="22"/>
        </w:rPr>
        <w:t xml:space="preserve">La posible cooperación técnica y económica del Ministerio de Vivienda, Ordenamiento Territorial y Medio Ambiente (MVOTMA) con los Gobiernos Departamentales, quedará condicionada al cumplimiento de la inscripción dispuesta.</w:t>
      </w:r>
    </w:p>
    <w:p>
      <w:pPr>
        <w:spacing w:after="120"/>
        <w:jc w:val="both"/>
      </w:pPr>
      <w:r>
        <w:rPr>
          <w:sz w:val="22"/>
          <w:szCs w:val="22"/>
        </w:rPr>
        <w:t xml:space="preserve">La información contenida en el Inventario estará disponible para consulta por parte de las instituciones interesadas y del público en general.</w:t>
      </w:r>
    </w:p>
    <w:p>
      <w:pPr>
        <w:pStyle w:val="Articulo"/>
        <w:keepNext/>
        <w:spacing w:after="120" w:before="280"/>
      </w:pPr>
      <w:r>
        <w:rPr>
          <w:rFonts w:ascii="Arial" w:cs="Arial" w:eastAsia="Arial" w:hAnsi="Arial"/>
          <w:b/>
          <w:bCs/>
          <w:color w:val="14213D"/>
          <w:sz w:val="22"/>
          <w:szCs w:val="22"/>
        </w:rPr>
        <w:t xml:space="preserve">Artículo 78 BIS</w:t>
      </w:r>
      <w:r>
        <w:rPr>
          <w:rFonts w:ascii="Arial" w:cs="Arial" w:eastAsia="Arial" w:hAnsi="Arial"/>
          <w:color w:val="555555"/>
          <w:sz w:val="22"/>
          <w:szCs w:val="22"/>
        </w:rPr>
        <w:t xml:space="preserve"> · Artículo 78-BIS</w:t>
      </w:r>
    </w:p>
    <w:p>
      <w:pPr>
        <w:spacing w:after="120"/>
        <w:jc w:val="both"/>
      </w:pPr>
      <w:r>
        <w:rPr>
          <w:sz w:val="22"/>
          <w:szCs w:val="22"/>
        </w:rPr>
        <w:t xml:space="preserve">Los instrumentos de ordenamiento territorial y sus modificaciones se inscribirán en el Inventario Nacional de Ordenamiento Territorial al inicio de su proceso de elaboración, una vez recibida la comunicación de inicio de manera provisoria, y con la aprobación definitiva se inscribirán de manera definitiva. La Dirección Nacional de Ordenamiento Territorial formalizará el registro conforme lo establecido en la presente ley.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Ley Nº 20.446 de 16/12/2025 artículo </w:t>
      </w:r>
      <w:hyperlink w:history="1" r:id="rIdg_egxmmvqmo-jttl2_ocg">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Agregado/s por: Ley Nº 20.446 de 16/12/2025 artículo </w:t>
      </w:r>
      <w:hyperlink w:history="1" r:id="rIdiwsrrprtoqaackwgrahox">
        <w:r>
          <w:rPr>
            <w:rStyle w:val="Hyperlink"/>
            <w:rFonts w:ascii="Arial" w:cs="Arial" w:eastAsia="Arial" w:hAnsi="Arial"/>
            <w:sz w:val="17"/>
            <w:szCs w:val="17"/>
          </w:rPr>
          <w:t xml:space="preserve">424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79</w:t>
      </w:r>
      <w:r>
        <w:rPr>
          <w:rFonts w:ascii="Arial" w:cs="Arial" w:eastAsia="Arial" w:hAnsi="Arial"/>
          <w:color w:val="555555"/>
          <w:sz w:val="22"/>
          <w:szCs w:val="22"/>
        </w:rPr>
        <w:t xml:space="preserve"> · Infraestructura de Información Geoespacial para el Ordenamiento Territorial</w:t>
      </w:r>
    </w:p>
    <w:p>
      <w:pPr>
        <w:spacing w:after="120"/>
        <w:jc w:val="both"/>
      </w:pPr>
      <w:r>
        <w:rPr>
          <w:sz w:val="22"/>
          <w:szCs w:val="22"/>
        </w:rPr>
        <w:t xml:space="preserve">(Infraestructura de Información Geoespacial para el Ordenamiento Territorial).- La Infraestructura de Información Geoespacial para el Ordenamiento Territorial (IIGOT) es un ámbito de coordinación y cooperación interinstitucional que tiene como objetivo contribuir al conocimiento para la planificación y gestión territorial y la toma de decisiones eficaces y eficientes, mediante el uso de información geográfica accesible, oportuna e interoperable.</w:t>
      </w:r>
    </w:p>
    <w:p>
      <w:pPr>
        <w:spacing w:after="120"/>
        <w:jc w:val="both"/>
      </w:pPr>
      <w:r>
        <w:rPr>
          <w:sz w:val="22"/>
          <w:szCs w:val="22"/>
        </w:rPr>
        <w:t xml:space="preserve">IIGOT está enmarcada dentro de los lineamientos generales establecidos por la Infraestructura de Datos Espaciales de Uruguay para la gestión de datos espaciales.</w:t>
      </w:r>
    </w:p>
    <w:p>
      <w:pPr>
        <w:spacing w:after="120"/>
        <w:jc w:val="both"/>
      </w:pPr>
      <w:r>
        <w:rPr>
          <w:sz w:val="22"/>
          <w:szCs w:val="22"/>
        </w:rPr>
        <w:t xml:space="preserve">IIGOT tiene como cometido promover y facilitar la producción, uso y acceso a la información geográfica necesaria para el ordenamiento territorial en todas sus escalas y dimensiones, mediante la coordinación de las actuaciones de todas las entidades públicas con competencia y capacidad al respecto.</w:t>
      </w:r>
    </w:p>
    <w:p>
      <w:pPr>
        <w:spacing w:after="120"/>
        <w:jc w:val="both"/>
      </w:pPr>
      <w:r>
        <w:rPr>
          <w:sz w:val="22"/>
          <w:szCs w:val="22"/>
        </w:rPr>
        <w:t xml:space="preserve">IIGOT se conforma por un Comité Directivo Honorario y una Secretaría Técnica.</w:t>
      </w:r>
    </w:p>
    <w:p>
      <w:pPr>
        <w:spacing w:after="120"/>
        <w:jc w:val="both"/>
      </w:pPr>
      <w:r>
        <w:rPr>
          <w:sz w:val="22"/>
          <w:szCs w:val="22"/>
        </w:rPr>
        <w:t xml:space="preserve">El Comité Directivo estará integrado por representantes de los organismos y entidades nacionales, departamentales y locales, comprendiendo los ministerios, intendencias, municipios, entes autónomos y servicios descentralizados con competencia en la materia y la academia, así como toda otra organización o entidad afín que incorpore la reglamentación.</w:t>
      </w:r>
    </w:p>
    <w:p>
      <w:pPr>
        <w:spacing w:after="120"/>
        <w:jc w:val="both"/>
      </w:pPr>
      <w:r>
        <w:rPr>
          <w:sz w:val="22"/>
          <w:szCs w:val="22"/>
        </w:rPr>
        <w:t xml:space="preserve">La Secretaría Técnica y la representación de la IIGOT serán ejercidas por la Dirección Nacional de Ordenamiento Territorial.</w:t>
      </w:r>
    </w:p>
    <w:p>
      <w:pPr>
        <w:spacing w:after="120"/>
        <w:jc w:val="both"/>
      </w:pPr>
      <w:r>
        <w:rPr>
          <w:sz w:val="22"/>
          <w:szCs w:val="22"/>
        </w:rPr>
        <w:t xml:space="preserve">El Comité Directivo establecerá las líneas de trabajo generales y la Secretaría Técnica será la encargada del desarrollo y aplicación de las mismas. Cada integrante de la IIGOT contará con un nodo de información geográfica que aportará al funcionamiento de la Infraestructura.</w:t>
      </w:r>
    </w:p>
    <w:p>
      <w:pPr>
        <w:spacing w:after="120"/>
        <w:jc w:val="both"/>
      </w:pPr>
      <w:r>
        <w:rPr>
          <w:sz w:val="22"/>
          <w:szCs w:val="22"/>
        </w:rPr>
        <w:t xml:space="preserve">El Poder Ejecutivo a través del Ministerio de Vivienda y Ordenamiento Territorial, establecerá a través de la reglamentación, el funcionamiento e integración de la IIGOT en un plazo de ciento ochenta días.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20.212 de 06/11/2023 artículo </w:t>
      </w:r>
      <w:hyperlink w:history="1" r:id="rIdg7hhtpwctomxnebq--uh6">
        <w:r>
          <w:rPr>
            <w:rStyle w:val="Hyperlink"/>
            <w:rFonts w:ascii="Arial" w:cs="Arial" w:eastAsia="Arial" w:hAnsi="Arial"/>
            <w:sz w:val="17"/>
            <w:szCs w:val="17"/>
          </w:rPr>
          <w:t xml:space="preserve">389</w:t>
        </w:r>
      </w:hyperlink>
      <w:r>
        <w:rPr>
          <w:rFonts w:ascii="Arial" w:cs="Arial" w:eastAsia="Arial" w:hAnsi="Arial"/>
          <w:color w:val="555555"/>
          <w:sz w:val="17"/>
          <w:szCs w:val="17"/>
        </w:rPr>
        <w:t xml:space="preserve">.
Ver vigencia: Ley Nº 20.212 de 06/11/2023 artículo </w:t>
      </w:r>
      <w:hyperlink w:history="1" r:id="rIdp4iplaorlw5lzpwhdjjht">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Reglamentado por: Decreto </w:t>
      </w:r>
      <w:hyperlink w:history="1" r:id="rId8aleu5n3itfw_vsi0ruit">
        <w:r>
          <w:rPr>
            <w:rStyle w:val="Hyperlink"/>
            <w:rFonts w:ascii="Arial" w:cs="Arial" w:eastAsia="Arial" w:hAnsi="Arial"/>
            <w:sz w:val="17"/>
            <w:szCs w:val="17"/>
          </w:rPr>
          <w:t xml:space="preserve">Nº 333/024</w:t>
        </w:r>
      </w:hyperlink>
      <w:r>
        <w:rPr>
          <w:rFonts w:ascii="Arial" w:cs="Arial" w:eastAsia="Arial" w:hAnsi="Arial"/>
          <w:color w:val="555555"/>
          <w:sz w:val="17"/>
          <w:szCs w:val="17"/>
        </w:rPr>
        <w:t xml:space="preserve"> de 27/11/2024.</w:t>
      </w:r>
    </w:p>
    <w:p>
      <w:pPr>
        <w:shd w:fill="F4F5F8" w:val="clear"/>
        <w:spacing w:after="60"/>
        <w:ind w:left="360"/>
      </w:pPr>
      <w:r>
        <w:rPr>
          <w:rFonts w:ascii="Arial" w:cs="Arial" w:eastAsia="Arial" w:hAnsi="Arial"/>
          <w:color w:val="555555"/>
          <w:sz w:val="17"/>
          <w:szCs w:val="17"/>
        </w:rPr>
        <w:t xml:space="preserve">TEXTO ORIGINAL: Ley Nº 18.308 de 18/06/2008 artículo </w:t>
      </w:r>
      <w:hyperlink w:history="1" r:id="rIdejlbx3xdhly1xzegvm0ub">
        <w:r>
          <w:rPr>
            <w:rStyle w:val="Hyperlink"/>
            <w:rFonts w:ascii="Arial" w:cs="Arial" w:eastAsia="Arial" w:hAnsi="Arial"/>
            <w:sz w:val="17"/>
            <w:szCs w:val="17"/>
          </w:rPr>
          <w:t xml:space="preserve">79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79 BIS</w:t>
      </w:r>
      <w:r>
        <w:rPr>
          <w:rFonts w:ascii="Arial" w:cs="Arial" w:eastAsia="Arial" w:hAnsi="Arial"/>
          <w:color w:val="555555"/>
          <w:sz w:val="22"/>
          <w:szCs w:val="22"/>
        </w:rPr>
        <w:t xml:space="preserve"> · Artículo 79-BIS</w:t>
      </w:r>
    </w:p>
    <w:p>
      <w:pPr>
        <w:spacing w:after="120"/>
        <w:jc w:val="both"/>
      </w:pPr>
      <w:r>
        <w:rPr>
          <w:sz w:val="22"/>
          <w:szCs w:val="22"/>
        </w:rPr>
        <w:t xml:space="preserve">(Sistema de Información Territorial).- El Sistema de Información Territorial de la unidad ejecutora 003 'Dirección Nacional de Ordenamiento Territorial' del Inciso 14 'Ministerio de Vivienda y Ordenamiento Territorial' tendrá como objetivo gestionar, documentar y disponer información geográfica relativa al ordenamiento territorial, así como los desarrollos e implementaciones tecnológicas que den sustento a dichas tareas.</w:t>
      </w:r>
    </w:p>
    <w:p>
      <w:pPr>
        <w:spacing w:after="120"/>
        <w:jc w:val="both"/>
      </w:pPr>
      <w:r>
        <w:rPr>
          <w:sz w:val="22"/>
          <w:szCs w:val="22"/>
        </w:rPr>
        <w:t xml:space="preserve">Funciona como uno de los nodos principales de la Infraestructura de Información Geoespacial para el Ordenamiento Territorial pudiendo cooperar con los nodos de otras instituciones en las actividades que fortalezcan el funcionamiento de la misma.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Ley Nº 20.212 de 06/11/2023 artículo </w:t>
      </w:r>
      <w:hyperlink w:history="1" r:id="rIdy0onmq3e31r7lu1qkgsod">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Agregado/s por: Ley Nº 20.212 de 06/11/2023 artículo </w:t>
      </w:r>
      <w:hyperlink w:history="1" r:id="rIdau9f0syomxyj_1hbmot-g">
        <w:r>
          <w:rPr>
            <w:rStyle w:val="Hyperlink"/>
            <w:rFonts w:ascii="Arial" w:cs="Arial" w:eastAsia="Arial" w:hAnsi="Arial"/>
            <w:sz w:val="17"/>
            <w:szCs w:val="17"/>
          </w:rPr>
          <w:t xml:space="preserve">388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80</w:t>
      </w:r>
      <w:r>
        <w:rPr>
          <w:rFonts w:ascii="Arial" w:cs="Arial" w:eastAsia="Arial" w:hAnsi="Arial"/>
          <w:color w:val="555555"/>
          <w:sz w:val="22"/>
          <w:szCs w:val="22"/>
        </w:rPr>
        <w:t xml:space="preserve"> · Solución de divergencias</w:t>
      </w:r>
    </w:p>
    <w:p>
      <w:pPr>
        <w:spacing w:after="120"/>
        <w:jc w:val="both"/>
      </w:pPr>
      <w:r>
        <w:rPr>
          <w:sz w:val="22"/>
          <w:szCs w:val="22"/>
        </w:rPr>
        <w:t xml:space="preserve">(Solución de divergencias).- Las instituciones públicas, ante divergencias sobre criterios de ordenamiento, en zonas concretas o asuntos sectoriales, podrán iniciar procesos de negociación o mediación de conflictos, de forma voluntaria y de común acuerdo. A estos efectos podrán requerir la colaboración de la Dirección Nacional de Ordenamiento Territorial.</w:t>
      </w:r>
    </w:p>
    <w:p>
      <w:pPr>
        <w:spacing w:after="120"/>
        <w:jc w:val="both"/>
      </w:pPr>
      <w:r>
        <w:rPr>
          <w:sz w:val="22"/>
          <w:szCs w:val="22"/>
        </w:rPr>
        <w:t xml:space="preserve">En caso de que una de las partes o ambas, no acuerden con el resultado de la conciliación o resultare infructuosa ésta, serán resueltas por el Tribunal de lo Contencioso Administrativo. El proceso no tendrá efecto suspensivo, salvo que medie resolución expresa fundada del Tribunal al efecto.</w:t>
      </w:r>
    </w:p>
    <w:p>
      <w:pPr>
        <w:pStyle w:val="Articulo"/>
        <w:keepNext/>
        <w:spacing w:after="120" w:before="280"/>
      </w:pPr>
      <w:r>
        <w:rPr>
          <w:rFonts w:ascii="Arial" w:cs="Arial" w:eastAsia="Arial" w:hAnsi="Arial"/>
          <w:b/>
          <w:bCs/>
          <w:color w:val="14213D"/>
          <w:sz w:val="22"/>
          <w:szCs w:val="22"/>
        </w:rPr>
        <w:t xml:space="preserve">Artículo 81</w:t>
      </w:r>
      <w:r>
        <w:rPr>
          <w:rFonts w:ascii="Arial" w:cs="Arial" w:eastAsia="Arial" w:hAnsi="Arial"/>
          <w:color w:val="555555"/>
          <w:sz w:val="22"/>
          <w:szCs w:val="22"/>
        </w:rPr>
        <w:t xml:space="preserve"> · Cooperación y apoyo del Gobierno Nacional. Fomento de la planificación departamental</w:t>
      </w:r>
    </w:p>
    <w:p>
      <w:pPr>
        <w:spacing w:after="120"/>
        <w:jc w:val="both"/>
      </w:pPr>
      <w:r>
        <w:rPr>
          <w:sz w:val="22"/>
          <w:szCs w:val="22"/>
        </w:rPr>
        <w:t xml:space="preserve">(Cooperación y apoyo del Gobierno Nacional. Fomento de la planificación departamental).- A solicitud de la Intendencia respectiva, el Ministerio de Vivienda, Ordenamiento Territorial y Medio Ambiente (MVOTMA) brindará cooperación técnica y financiera, según establezcan las leyes de presupuesto, a efectos de elaborar, gestionar y evaluar los instrumentos de ordenamiento territorial.</w:t>
      </w:r>
    </w:p>
    <w:p>
      <w:pPr>
        <w:spacing w:after="120"/>
        <w:jc w:val="both"/>
      </w:pPr>
      <w:r>
        <w:rPr>
          <w:sz w:val="22"/>
          <w:szCs w:val="22"/>
        </w:rPr>
        <w:t xml:space="preserve">La Dirección Nacional de Ordenamiento Territorial, tendrá entre sus cometidos de fomento de la planificación departamental, además de los establecidos por la legislación vigente, los siguientes:</w:t>
      </w:r>
    </w:p>
    <w:p>
      <w:pPr>
        <w:spacing w:after="120"/>
        <w:ind w:left="567"/>
        <w:jc w:val="both"/>
      </w:pPr>
      <w:r>
        <w:rPr>
          <w:sz w:val="22"/>
          <w:szCs w:val="22"/>
        </w:rPr>
        <w:t xml:space="preserve">a) Capacitación y apoyo a los servicios técnicos departamentales y</w:t>
      </w:r>
    </w:p>
    <w:p>
      <w:pPr>
        <w:spacing w:after="120"/>
        <w:jc w:val="both"/>
      </w:pPr>
      <w:r>
        <w:rPr>
          <w:sz w:val="22"/>
          <w:szCs w:val="22"/>
        </w:rPr>
        <w:t xml:space="preserve">estímulo a la innovación e investigación científico-técnica básica y</w:t>
      </w:r>
    </w:p>
    <w:p>
      <w:pPr>
        <w:spacing w:after="120"/>
        <w:jc w:val="both"/>
      </w:pPr>
      <w:r>
        <w:rPr>
          <w:sz w:val="22"/>
          <w:szCs w:val="22"/>
        </w:rPr>
        <w:t xml:space="preserve">aplicada y la capacitación relacionada con el territorio.</w:t>
      </w:r>
    </w:p>
    <w:p>
      <w:pPr>
        <w:spacing w:after="120"/>
        <w:ind w:left="567"/>
        <w:jc w:val="both"/>
      </w:pPr>
      <w:r>
        <w:rPr>
          <w:sz w:val="22"/>
          <w:szCs w:val="22"/>
        </w:rPr>
        <w:t xml:space="preserve">b) Elaboración de guías, protocolos y normas técnicas como apoyo a los</w:t>
      </w:r>
    </w:p>
    <w:p>
      <w:pPr>
        <w:spacing w:after="120"/>
        <w:jc w:val="both"/>
      </w:pPr>
      <w:r>
        <w:rPr>
          <w:sz w:val="22"/>
          <w:szCs w:val="22"/>
        </w:rPr>
        <w:t xml:space="preserve">Gobiernos Departamentales para elaborar los instrumentos de</w:t>
      </w:r>
    </w:p>
    <w:p>
      <w:pPr>
        <w:spacing w:after="120"/>
        <w:jc w:val="both"/>
      </w:pPr>
      <w:r>
        <w:rPr>
          <w:sz w:val="22"/>
          <w:szCs w:val="22"/>
        </w:rPr>
        <w:t xml:space="preserve">ordenamiento territorial y para el dictado de las normas pertinentes.</w:t>
      </w:r>
    </w:p>
    <w:p>
      <w:pPr>
        <w:spacing w:after="120"/>
        <w:ind w:left="567"/>
        <w:jc w:val="both"/>
      </w:pPr>
      <w:r>
        <w:rPr>
          <w:sz w:val="22"/>
          <w:szCs w:val="22"/>
        </w:rPr>
        <w:t xml:space="preserve">c) Colaboración técnica y financiera con las Intendencias en la</w:t>
      </w:r>
    </w:p>
    <w:p>
      <w:pPr>
        <w:spacing w:after="120"/>
        <w:jc w:val="both"/>
      </w:pPr>
      <w:r>
        <w:rPr>
          <w:sz w:val="22"/>
          <w:szCs w:val="22"/>
        </w:rPr>
        <w:t xml:space="preserve">elaboración de los instrumentos de ordenamiento territorial.</w:t>
      </w:r>
    </w:p>
    <w:p>
      <w:pPr>
        <w:spacing w:after="120"/>
        <w:jc w:val="both"/>
      </w:pPr>
      <w:r>
        <w:rPr>
          <w:sz w:val="22"/>
          <w:szCs w:val="22"/>
        </w:rPr>
        <w:t xml:space="preserve">La Dirección Nacional de Ordenamiento Territorial y el Congreso de Intendentes podrán coordinar formas de cooperación técnica de alcance general.</w:t>
      </w:r>
    </w:p>
    <w:p>
      <w:pPr>
        <w:pStyle w:val="Heading2"/>
      </w:pPr>
      <w:r>
        <w:t xml:space="preserve">TÍTULO VIII - DISPOSICIONES ESPECIALES</w:t>
      </w:r>
    </w:p>
    <w:p>
      <w:pPr>
        <w:pStyle w:val="Articulo"/>
        <w:keepNext/>
        <w:spacing w:after="120" w:before="280"/>
      </w:pPr>
      <w:r>
        <w:rPr>
          <w:rFonts w:ascii="Arial" w:cs="Arial" w:eastAsia="Arial" w:hAnsi="Arial"/>
          <w:b/>
          <w:bCs/>
          <w:color w:val="14213D"/>
          <w:sz w:val="22"/>
          <w:szCs w:val="22"/>
        </w:rPr>
        <w:t xml:space="preserve">Artículo 82</w:t>
      </w:r>
      <w:r>
        <w:rPr>
          <w:rFonts w:ascii="Arial" w:cs="Arial" w:eastAsia="Arial" w:hAnsi="Arial"/>
          <w:color w:val="555555"/>
          <w:sz w:val="22"/>
          <w:szCs w:val="22"/>
        </w:rPr>
        <w:t xml:space="preserve"> · Fortalecimiento institucional para el Ordenamiento Territorial</w:t>
      </w:r>
    </w:p>
    <w:p>
      <w:pPr>
        <w:spacing w:after="120"/>
        <w:jc w:val="both"/>
      </w:pPr>
      <w:r>
        <w:rPr>
          <w:sz w:val="22"/>
          <w:szCs w:val="22"/>
        </w:rPr>
        <w:t xml:space="preserve">(Fortalecimiento institucional para el Ordenamiento Territorial).- Cométese al Poder Ejecutivo la implementación de acciones para el fortalecimiento de las capacidades de gestión planificada del territorio ambientalmente sustentable y con equidad social, en el marco de la elaboración y ejecución de los instrumentos de ordenamiento territorial previstos en la presente ley, en los ámbitos del Gobierno Nacional y Gobiernos Departamentales.</w:t>
      </w:r>
    </w:p>
    <w:p>
      <w:pPr>
        <w:pStyle w:val="Articulo"/>
        <w:keepNext/>
        <w:spacing w:after="120" w:before="280"/>
      </w:pPr>
      <w:r>
        <w:rPr>
          <w:rFonts w:ascii="Arial" w:cs="Arial" w:eastAsia="Arial" w:hAnsi="Arial"/>
          <w:b/>
          <w:bCs/>
          <w:color w:val="14213D"/>
          <w:sz w:val="22"/>
          <w:szCs w:val="22"/>
        </w:rPr>
        <w:t xml:space="preserve">Artículo 83</w:t>
      </w:r>
      <w:r>
        <w:rPr>
          <w:rFonts w:ascii="Arial" w:cs="Arial" w:eastAsia="Arial" w:hAnsi="Arial"/>
          <w:color w:val="555555"/>
          <w:sz w:val="22"/>
          <w:szCs w:val="22"/>
        </w:rPr>
        <w:t xml:space="preserve"> · Ajustes legales</w:t>
      </w:r>
    </w:p>
    <w:p>
      <w:pPr>
        <w:spacing w:after="120"/>
        <w:jc w:val="both"/>
      </w:pPr>
      <w:r>
        <w:rPr>
          <w:sz w:val="22"/>
          <w:szCs w:val="22"/>
        </w:rPr>
        <w:t xml:space="preserve">(Ajustes legales).-</w:t>
      </w:r>
    </w:p>
    <w:p>
      <w:pPr>
        <w:spacing w:after="120"/>
        <w:ind w:left="567"/>
        <w:jc w:val="both"/>
      </w:pPr>
      <w:r>
        <w:rPr>
          <w:sz w:val="22"/>
          <w:szCs w:val="22"/>
        </w:rPr>
        <w:t xml:space="preserve">1) Ajustes a las Leyes Nº 10.723, de 21 de abril de 1946 y Nº 10.866,</w:t>
      </w:r>
    </w:p>
    <w:p>
      <w:pPr>
        <w:spacing w:after="120"/>
        <w:jc w:val="both"/>
      </w:pPr>
      <w:r>
        <w:rPr>
          <w:sz w:val="22"/>
          <w:szCs w:val="22"/>
        </w:rPr>
        <w:t xml:space="preserve">de 25 de octubre de 1946 (Ley de Centros Poblados).</w:t>
      </w:r>
    </w:p>
    <w:p>
      <w:pPr>
        <w:spacing w:after="120"/>
        <w:ind w:left="567"/>
        <w:jc w:val="both"/>
      </w:pPr>
      <w:r>
        <w:rPr>
          <w:sz w:val="22"/>
          <w:szCs w:val="22"/>
        </w:rPr>
        <w:t xml:space="preserve">a) (*)</w:t>
      </w:r>
    </w:p>
    <w:p>
      <w:pPr>
        <w:spacing w:after="120"/>
        <w:ind w:left="567"/>
        <w:jc w:val="both"/>
      </w:pPr>
      <w:r>
        <w:rPr>
          <w:sz w:val="22"/>
          <w:szCs w:val="22"/>
        </w:rPr>
        <w:t xml:space="preserve">b) Deróganse el segundo y tercer incisos del artículo 2° de la Ley Nº</w:t>
      </w:r>
    </w:p>
    <w:p>
      <w:pPr>
        <w:spacing w:after="120"/>
        <w:jc w:val="both"/>
      </w:pPr>
      <w:r>
        <w:rPr>
          <w:sz w:val="22"/>
          <w:szCs w:val="22"/>
        </w:rPr>
        <w:t xml:space="preserve">10.723, de 21 de abril de 1946.</w:t>
      </w:r>
    </w:p>
    <w:p>
      <w:pPr>
        <w:spacing w:after="120"/>
        <w:ind w:left="567"/>
        <w:jc w:val="both"/>
      </w:pPr>
      <w:r>
        <w:rPr>
          <w:sz w:val="22"/>
          <w:szCs w:val="22"/>
        </w:rPr>
        <w:t xml:space="preserve">c) (*)</w:t>
      </w:r>
    </w:p>
    <w:p>
      <w:pPr>
        <w:spacing w:after="120"/>
        <w:ind w:left="567"/>
        <w:jc w:val="both"/>
      </w:pPr>
      <w:r>
        <w:rPr>
          <w:sz w:val="22"/>
          <w:szCs w:val="22"/>
        </w:rPr>
        <w:t xml:space="preserve">d) Derógase el inciso segundo del artículo 10 de la Ley Nº 10.723, de</w:t>
      </w:r>
    </w:p>
    <w:p>
      <w:pPr>
        <w:spacing w:after="120"/>
        <w:jc w:val="both"/>
      </w:pPr>
      <w:r>
        <w:rPr>
          <w:sz w:val="22"/>
          <w:szCs w:val="22"/>
        </w:rPr>
        <w:t xml:space="preserve">21 de abril de 1946.</w:t>
      </w:r>
    </w:p>
    <w:p>
      <w:pPr>
        <w:spacing w:after="120"/>
        <w:ind w:left="567"/>
        <w:jc w:val="both"/>
      </w:pPr>
      <w:r>
        <w:rPr>
          <w:sz w:val="22"/>
          <w:szCs w:val="22"/>
        </w:rPr>
        <w:t xml:space="preserve">e) (*)</w:t>
      </w:r>
    </w:p>
    <w:p>
      <w:pPr>
        <w:spacing w:after="120"/>
        <w:ind w:left="567"/>
        <w:jc w:val="both"/>
      </w:pPr>
      <w:r>
        <w:rPr>
          <w:sz w:val="22"/>
          <w:szCs w:val="22"/>
        </w:rPr>
        <w:t xml:space="preserve">f) Derógase el inciso segundo del artículo 11 de la Ley Nº 10.723, de</w:t>
      </w:r>
    </w:p>
    <w:p>
      <w:pPr>
        <w:spacing w:after="120"/>
        <w:jc w:val="both"/>
      </w:pPr>
      <w:r>
        <w:rPr>
          <w:sz w:val="22"/>
          <w:szCs w:val="22"/>
        </w:rPr>
        <w:t xml:space="preserve">21 de abril de 1946.</w:t>
      </w:r>
    </w:p>
    <w:p>
      <w:pPr>
        <w:spacing w:after="120"/>
        <w:ind w:left="567"/>
        <w:jc w:val="both"/>
      </w:pPr>
      <w:r>
        <w:rPr>
          <w:sz w:val="22"/>
          <w:szCs w:val="22"/>
        </w:rPr>
        <w:t xml:space="preserve">g) Deróganse los numerales 1º y 2º del artículo 13 de la Ley Nº</w:t>
      </w:r>
    </w:p>
    <w:p>
      <w:pPr>
        <w:spacing w:after="120"/>
        <w:jc w:val="both"/>
      </w:pPr>
      <w:r>
        <w:rPr>
          <w:sz w:val="22"/>
          <w:szCs w:val="22"/>
        </w:rPr>
        <w:t xml:space="preserve">10.723, de 21 de abril de 1946</w:t>
      </w:r>
    </w:p>
    <w:p>
      <w:pPr>
        <w:spacing w:after="120"/>
        <w:jc w:val="both"/>
      </w:pPr>
      <w:r>
        <w:rPr>
          <w:sz w:val="22"/>
          <w:szCs w:val="22"/>
        </w:rPr>
        <w:t xml:space="preserve">(*)</w:t>
      </w:r>
    </w:p>
    <w:p>
      <w:pPr>
        <w:spacing w:after="120"/>
        <w:ind w:left="567"/>
        <w:jc w:val="both"/>
      </w:pPr>
      <w:r>
        <w:rPr>
          <w:sz w:val="22"/>
          <w:szCs w:val="22"/>
        </w:rPr>
        <w:t xml:space="preserve">h) (*)</w:t>
      </w:r>
    </w:p>
    <w:p>
      <w:pPr>
        <w:spacing w:after="120"/>
        <w:ind w:left="567"/>
        <w:jc w:val="both"/>
      </w:pPr>
      <w:r>
        <w:rPr>
          <w:sz w:val="22"/>
          <w:szCs w:val="22"/>
        </w:rPr>
        <w:t xml:space="preserve">i) (*)</w:t>
      </w:r>
    </w:p>
    <w:p>
      <w:pPr>
        <w:spacing w:after="120"/>
        <w:ind w:left="567"/>
        <w:jc w:val="both"/>
      </w:pPr>
      <w:r>
        <w:rPr>
          <w:sz w:val="22"/>
          <w:szCs w:val="22"/>
        </w:rPr>
        <w:t xml:space="preserve">j) (*)</w:t>
      </w:r>
    </w:p>
    <w:p>
      <w:pPr>
        <w:spacing w:after="120"/>
        <w:ind w:left="567"/>
        <w:jc w:val="both"/>
      </w:pPr>
      <w:r>
        <w:rPr>
          <w:sz w:val="22"/>
          <w:szCs w:val="22"/>
        </w:rPr>
        <w:t xml:space="preserve">2) Ajustes a la Ley Nº 13.493, de 20 de setiembre de 1966.</w:t>
      </w:r>
    </w:p>
    <w:p>
      <w:pPr>
        <w:spacing w:after="120"/>
        <w:jc w:val="both"/>
      </w:pPr>
      <w:r>
        <w:rPr>
          <w:sz w:val="22"/>
          <w:szCs w:val="22"/>
        </w:rPr>
        <w:t xml:space="preserve">(*)</w:t>
      </w:r>
    </w:p>
    <w:p>
      <w:pPr>
        <w:spacing w:after="120"/>
        <w:ind w:left="567"/>
        <w:jc w:val="both"/>
      </w:pPr>
      <w:r>
        <w:rPr>
          <w:sz w:val="22"/>
          <w:szCs w:val="22"/>
        </w:rPr>
        <w:t xml:space="preserve">3) Ajustes a la Ley Nº 17.292, de 25 de enero de 2001.</w:t>
      </w:r>
    </w:p>
    <w:p>
      <w:pPr>
        <w:spacing w:after="120"/>
        <w:ind w:left="567"/>
        <w:jc w:val="both"/>
      </w:pPr>
      <w:r>
        <w:rPr>
          <w:sz w:val="22"/>
          <w:szCs w:val="22"/>
        </w:rPr>
        <w:t xml:space="preserve">a) (*)</w:t>
      </w:r>
    </w:p>
    <w:p>
      <w:pPr>
        <w:spacing w:after="120"/>
        <w:ind w:left="567"/>
        <w:jc w:val="both"/>
      </w:pPr>
      <w:r>
        <w:rPr>
          <w:sz w:val="22"/>
          <w:szCs w:val="22"/>
        </w:rPr>
        <w:t xml:space="preserve">b) Derógase el inciso cuarto del artículo 48 de la Ley Nº 17.292, de</w:t>
      </w:r>
    </w:p>
    <w:p>
      <w:pPr>
        <w:spacing w:after="120"/>
        <w:jc w:val="both"/>
      </w:pPr>
      <w:r>
        <w:rPr>
          <w:sz w:val="22"/>
          <w:szCs w:val="22"/>
        </w:rPr>
        <w:t xml:space="preserve">25 de enero de 2001.</w:t>
      </w:r>
    </w:p>
    <w:p>
      <w:pPr>
        <w:spacing w:after="120"/>
        <w:ind w:left="567"/>
        <w:jc w:val="both"/>
      </w:pPr>
      <w:r>
        <w:rPr>
          <w:sz w:val="22"/>
          <w:szCs w:val="22"/>
        </w:rPr>
        <w:t xml:space="preserve">c) (*)</w:t>
      </w:r>
    </w:p>
    <w:p>
      <w:pPr>
        <w:spacing w:after="120"/>
        <w:ind w:left="567"/>
        <w:jc w:val="both"/>
      </w:pPr>
      <w:r>
        <w:rPr>
          <w:sz w:val="22"/>
          <w:szCs w:val="22"/>
        </w:rPr>
        <w:t xml:space="preserve">4) Ajustes a la Ley Nº 9.515, de 28 de octubre de 1935 (Ley Orgánica</w:t>
      </w:r>
    </w:p>
    <w:p>
      <w:pPr>
        <w:spacing w:after="120"/>
        <w:jc w:val="both"/>
      </w:pPr>
      <w:r>
        <w:rPr>
          <w:sz w:val="22"/>
          <w:szCs w:val="22"/>
        </w:rPr>
        <w:t xml:space="preserve">Municipal).</w:t>
      </w:r>
    </w:p>
    <w:p>
      <w:pPr>
        <w:spacing w:after="120"/>
        <w:ind w:left="567"/>
        <w:jc w:val="both"/>
      </w:pPr>
      <w:r>
        <w:rPr>
          <w:sz w:val="22"/>
          <w:szCs w:val="22"/>
        </w:rPr>
        <w:t xml:space="preserve">a) (*)</w:t>
      </w:r>
    </w:p>
    <w:p>
      <w:pPr>
        <w:spacing w:after="120"/>
        <w:ind w:left="567"/>
        <w:jc w:val="both"/>
      </w:pPr>
      <w:r>
        <w:rPr>
          <w:sz w:val="22"/>
          <w:szCs w:val="22"/>
        </w:rPr>
        <w:t xml:space="preserve">b) (*)</w:t>
      </w:r>
    </w:p>
    <w:p>
      <w:pPr>
        <w:spacing w:after="120"/>
        <w:ind w:left="567"/>
        <w:jc w:val="both"/>
      </w:pPr>
      <w:r>
        <w:rPr>
          <w:sz w:val="22"/>
          <w:szCs w:val="22"/>
        </w:rPr>
        <w:t xml:space="preserve">5) Ampliación de la competencia de la Corporación Nacional para el</w:t>
      </w:r>
    </w:p>
    <w:p>
      <w:pPr>
        <w:spacing w:after="120"/>
        <w:jc w:val="both"/>
      </w:pPr>
      <w:r>
        <w:rPr>
          <w:sz w:val="22"/>
          <w:szCs w:val="22"/>
        </w:rPr>
        <w:t xml:space="preserve">Desarrollo.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Numeral </w:t>
      </w:r>
      <w:hyperlink w:history="1" r:id="rIdzcwubgadl4jnbeabwxe1r">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literal a) además, este artículo dio nueva redacción a: Ley Nº 
10.723 de 21/04/1946 artículo 1.
Numeral 1), literal c) además, este artículo dio nueva redacción a: Ley Nº 
10.723 de 21/04/1946 artículo </w:t>
      </w:r>
      <w:hyperlink w:history="1" r:id="rIdnjoodrlve-_b94htu6ix_">
        <w:r>
          <w:rPr>
            <w:rStyle w:val="Hyperlink"/>
            <w:rFonts w:ascii="Arial" w:cs="Arial" w:eastAsia="Arial" w:hAnsi="Arial"/>
            <w:sz w:val="17"/>
            <w:szCs w:val="17"/>
          </w:rPr>
          <w:t xml:space="preserve">9</w:t>
        </w:r>
      </w:hyperlink>
      <w:r>
        <w:rPr>
          <w:rFonts w:ascii="Arial" w:cs="Arial" w:eastAsia="Arial" w:hAnsi="Arial"/>
          <w:color w:val="555555"/>
          <w:sz w:val="17"/>
          <w:szCs w:val="17"/>
        </w:rPr>
        <w:t xml:space="preserve"> inciso 3º).
Numeral 1), literal e) además, este artículo dio nueva redacción a: Ley Nº 
10.723 de 21/04/1946 artículo </w:t>
      </w:r>
      <w:hyperlink w:history="1" r:id="rIdlxguh5zosb11awpbymzil">
        <w:r>
          <w:rPr>
            <w:rStyle w:val="Hyperlink"/>
            <w:rFonts w:ascii="Arial" w:cs="Arial" w:eastAsia="Arial" w:hAnsi="Arial"/>
            <w:sz w:val="17"/>
            <w:szCs w:val="17"/>
          </w:rPr>
          <w:t xml:space="preserve">11</w:t>
        </w:r>
      </w:hyperlink>
      <w:r>
        <w:rPr>
          <w:rFonts w:ascii="Arial" w:cs="Arial" w:eastAsia="Arial" w:hAnsi="Arial"/>
          <w:color w:val="555555"/>
          <w:sz w:val="17"/>
          <w:szCs w:val="17"/>
        </w:rPr>
        <w:t xml:space="preserve"> inciso 1º).
Numeral 1), literal g) además, este artículo dio nueva redacción a: Ley Nº 
10.723 de 21/04/1946 artículo </w:t>
      </w:r>
      <w:hyperlink w:history="1" r:id="rIdtgqyz1i792uj5hayb0w0w">
        <w:r>
          <w:rPr>
            <w:rStyle w:val="Hyperlink"/>
            <w:rFonts w:ascii="Arial" w:cs="Arial" w:eastAsia="Arial" w:hAnsi="Arial"/>
            <w:sz w:val="17"/>
            <w:szCs w:val="17"/>
          </w:rPr>
          <w:t xml:space="preserve">13</w:t>
        </w:r>
      </w:hyperlink>
      <w:r>
        <w:rPr>
          <w:rFonts w:ascii="Arial" w:cs="Arial" w:eastAsia="Arial" w:hAnsi="Arial"/>
          <w:color w:val="555555"/>
          <w:sz w:val="17"/>
          <w:szCs w:val="17"/>
        </w:rPr>
        <w:t xml:space="preserve"> numeral 3º).
Numeral 1), literal h) además, este artículo dio nueva redacción a: Ley Nº 
10.723 de 21/04/1946 artículo </w:t>
      </w:r>
      <w:hyperlink w:history="1" r:id="rIdyxqfwhafdplvhm1cywl2u">
        <w:r>
          <w:rPr>
            <w:rStyle w:val="Hyperlink"/>
            <w:rFonts w:ascii="Arial" w:cs="Arial" w:eastAsia="Arial" w:hAnsi="Arial"/>
            <w:sz w:val="17"/>
            <w:szCs w:val="17"/>
          </w:rPr>
          <w:t xml:space="preserve">15</w:t>
        </w:r>
      </w:hyperlink>
      <w:r>
        <w:rPr>
          <w:rFonts w:ascii="Arial" w:cs="Arial" w:eastAsia="Arial" w:hAnsi="Arial"/>
          <w:color w:val="555555"/>
          <w:sz w:val="17"/>
          <w:szCs w:val="17"/>
        </w:rPr>
        <w:t xml:space="preserve"> .
Numeral 1), literal i) además, este artículo dio nueva redacción a: Ley Nº 
10.723 de 21/04/1946 artículo </w:t>
      </w:r>
      <w:hyperlink w:history="1" r:id="rIdfl6v5dtl9n6_jgqlnenzk">
        <w:r>
          <w:rPr>
            <w:rStyle w:val="Hyperlink"/>
            <w:rFonts w:ascii="Arial" w:cs="Arial" w:eastAsia="Arial" w:hAnsi="Arial"/>
            <w:sz w:val="17"/>
            <w:szCs w:val="17"/>
          </w:rPr>
          <w:t xml:space="preserve">16</w:t>
        </w:r>
      </w:hyperlink>
      <w:r>
        <w:rPr>
          <w:rFonts w:ascii="Arial" w:cs="Arial" w:eastAsia="Arial" w:hAnsi="Arial"/>
          <w:color w:val="555555"/>
          <w:sz w:val="17"/>
          <w:szCs w:val="17"/>
        </w:rPr>
        <w:t xml:space="preserve">.
Numeral 1), literal j) además, este artículo dio nueva redacción a: Ley Nº 
10.723 de 21/04/1946 artículo </w:t>
      </w:r>
      <w:hyperlink w:history="1" r:id="rIdbkppa2rtnwgzkghparj7u">
        <w:r>
          <w:rPr>
            <w:rStyle w:val="Hyperlink"/>
            <w:rFonts w:ascii="Arial" w:cs="Arial" w:eastAsia="Arial" w:hAnsi="Arial"/>
            <w:sz w:val="17"/>
            <w:szCs w:val="17"/>
          </w:rPr>
          <w:t xml:space="preserve">19</w:t>
        </w:r>
      </w:hyperlink>
      <w:r>
        <w:rPr>
          <w:rFonts w:ascii="Arial" w:cs="Arial" w:eastAsia="Arial" w:hAnsi="Arial"/>
          <w:color w:val="555555"/>
          <w:sz w:val="17"/>
          <w:szCs w:val="17"/>
        </w:rPr>
        <w:t xml:space="preserve">.
Numeral 2) además, este artículo dio nueva redacción a: Ley Nº 13.493 de 
20/09/1966 artículo </w:t>
      </w:r>
      <w:hyperlink w:history="1" r:id="rIdnqdqhbzoddueygpzf_abb">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Inciso 1º).
Numeral 3) además, este artículo dio nueva redacción a: Ley Nº 17.292 de 
25/01/2001 artículo </w:t>
      </w:r>
      <w:hyperlink w:history="1" r:id="rIdnsvfuoovbxr63am1r0a-w">
        <w:r>
          <w:rPr>
            <w:rStyle w:val="Hyperlink"/>
            <w:rFonts w:ascii="Arial" w:cs="Arial" w:eastAsia="Arial" w:hAnsi="Arial"/>
            <w:sz w:val="17"/>
            <w:szCs w:val="17"/>
          </w:rPr>
          <w:t xml:space="preserve">48</w:t>
        </w:r>
      </w:hyperlink>
      <w:r>
        <w:rPr>
          <w:rFonts w:ascii="Arial" w:cs="Arial" w:eastAsia="Arial" w:hAnsi="Arial"/>
          <w:color w:val="555555"/>
          <w:sz w:val="17"/>
          <w:szCs w:val="17"/>
        </w:rPr>
        <w:t xml:space="preserve"> incisos 1º) y 5º).
Numeral 4), literal a) además, este artículo agregó a: Ley Nº 9.515 de 
28/10/1935 artículo </w:t>
      </w:r>
      <w:hyperlink w:history="1" r:id="rId3gazdlmlvx2nwnzjdo-u-">
        <w:r>
          <w:rPr>
            <w:rStyle w:val="Hyperlink"/>
            <w:rFonts w:ascii="Arial" w:cs="Arial" w:eastAsia="Arial" w:hAnsi="Arial"/>
            <w:sz w:val="17"/>
            <w:szCs w:val="17"/>
          </w:rPr>
          <w:t xml:space="preserve">19</w:t>
        </w:r>
      </w:hyperlink>
      <w:r>
        <w:rPr>
          <w:rFonts w:ascii="Arial" w:cs="Arial" w:eastAsia="Arial" w:hAnsi="Arial"/>
          <w:color w:val="555555"/>
          <w:sz w:val="17"/>
          <w:szCs w:val="17"/>
        </w:rPr>
        <w:t xml:space="preserve"> numeral </w:t>
      </w:r>
      <w:hyperlink w:history="1" r:id="rIdxzfkliqyfgz8mr4p_ojnu">
        <w:r>
          <w:rPr>
            <w:rStyle w:val="Hyperlink"/>
            <w:rFonts w:ascii="Arial" w:cs="Arial" w:eastAsia="Arial" w:hAnsi="Arial"/>
            <w:sz w:val="17"/>
            <w:szCs w:val="17"/>
          </w:rPr>
          <w:t xml:space="preserve">35</w:t>
        </w:r>
      </w:hyperlink>
      <w:r>
        <w:rPr>
          <w:rFonts w:ascii="Arial" w:cs="Arial" w:eastAsia="Arial" w:hAnsi="Arial"/>
          <w:color w:val="555555"/>
          <w:sz w:val="17"/>
          <w:szCs w:val="17"/>
        </w:rPr>
        <w:t xml:space="preserve">).
Numeral 4), literal b) además, este artículo agregó a: Ley Nº 9.515 de 
28/10/1935 artículo 35 numeral 43).</w:t>
      </w:r>
    </w:p>
    <w:p>
      <w:pPr>
        <w:pStyle w:val="Articulo"/>
        <w:keepNext/>
        <w:spacing w:after="120" w:before="280"/>
      </w:pPr>
      <w:r>
        <w:rPr>
          <w:rFonts w:ascii="Arial" w:cs="Arial" w:eastAsia="Arial" w:hAnsi="Arial"/>
          <w:b/>
          <w:bCs/>
          <w:color w:val="14213D"/>
          <w:sz w:val="22"/>
          <w:szCs w:val="22"/>
        </w:rPr>
        <w:t xml:space="preserve">Artículo 84</w:t>
      </w:r>
      <w:r>
        <w:rPr>
          <w:rFonts w:ascii="Arial" w:cs="Arial" w:eastAsia="Arial" w:hAnsi="Arial"/>
          <w:color w:val="555555"/>
          <w:sz w:val="22"/>
          <w:szCs w:val="22"/>
        </w:rPr>
        <w:t xml:space="preserve"> · Alcance y reglamentación de la presente ley</w:t>
      </w:r>
    </w:p>
    <w:p>
      <w:pPr>
        <w:spacing w:after="120"/>
        <w:jc w:val="both"/>
      </w:pPr>
      <w:r>
        <w:rPr>
          <w:sz w:val="22"/>
          <w:szCs w:val="22"/>
        </w:rPr>
        <w:t xml:space="preserve">(Alcance y reglamentación de la presente ley).- Las disposiciones de la presente ley se aplicarán a partir de su publicación, aún cuando no estén aprobados los respectivos instrumentos de ordenamiento territorial.</w:t>
      </w:r>
    </w:p>
    <w:p>
      <w:pPr>
        <w:spacing w:after="120"/>
        <w:jc w:val="both"/>
      </w:pPr>
      <w:r>
        <w:rPr>
          <w:sz w:val="22"/>
          <w:szCs w:val="22"/>
        </w:rPr>
        <w:t xml:space="preserve">El Poder Ejecutivo reglamentará la presente ley dentro del plazo de un año a partir de su vigencia.</w:t>
      </w:r>
    </w:p>
    <w:sectPr>
      <w:footerReference w:type="default" r:id="rId7"/>
      <w:pgSz w:w="11906" w:h="16838"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6"/>
        <w:szCs w:val="16"/>
      </w:rPr>
      <w:t xml:space="preserve">Ley de Ordenamiento Territorial y Desarrollo Sostenible · texto vigente al 27/10/2026 · www.textovigente.com · página </w:t>
    </w:r>
    <w:r>
      <w:rPr>
        <w:rFonts w:ascii="Arial" w:cs="Arial" w:eastAsia="Arial" w:hAnsi="Arial"/>
        <w:color w:val="555555"/>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2"/>
        <w:szCs w:val="22"/>
      </w:rPr>
    </w:rPrDefault>
    <w:pPrDefault/>
  </w:docDefaults>
  <w:style w:type="paragraph" w:styleId="Title">
    <w:name w:val="Title"/>
    <w:basedOn w:val="Normal"/>
    <w:next w:val="Normal"/>
    <w:qFormat/>
    <w:pPr>
      <w:spacing w:after="200"/>
    </w:pPr>
    <w:rPr>
      <w:rFonts w:ascii="Arial" w:cs="Arial" w:eastAsia="Arial" w:hAnsi="Arial"/>
      <w:b/>
      <w:bCs/>
      <w:color w:val="14213D"/>
      <w:sz w:val="48"/>
      <w:szCs w:val="48"/>
    </w:rPr>
  </w:style>
  <w:style w:type="paragraph" w:styleId="Heading1">
    <w:name w:val="Heading 1"/>
    <w:basedOn w:val="Normal"/>
    <w:next w:val="Normal"/>
    <w:qFormat/>
    <w:pPr>
      <w:spacing w:after="200" w:before="480"/>
    </w:pPr>
    <w:rPr>
      <w:rFonts w:ascii="Arial" w:cs="Arial" w:eastAsia="Arial" w:hAnsi="Arial"/>
      <w:b/>
      <w:bCs/>
      <w:color w:val="14213D"/>
      <w:sz w:val="30"/>
      <w:szCs w:val="30"/>
    </w:rPr>
  </w:style>
  <w:style w:type="paragraph" w:styleId="Heading2">
    <w:name w:val="Heading 2"/>
    <w:basedOn w:val="Normal"/>
    <w:next w:val="Normal"/>
    <w:qFormat/>
    <w:pPr>
      <w:spacing w:after="160" w:before="360"/>
    </w:pPr>
    <w:rPr>
      <w:rFonts w:ascii="Arial" w:cs="Arial" w:eastAsia="Arial" w:hAnsi="Arial"/>
      <w:b/>
      <w:bCs/>
      <w:color w:val="14213D"/>
      <w:sz w:val="26"/>
      <w:szCs w:val="26"/>
    </w:rPr>
  </w:style>
  <w:style w:type="paragraph" w:styleId="Heading3">
    <w:name w:val="Heading 3"/>
    <w:basedOn w:val="Normal"/>
    <w:next w:val="Normal"/>
    <w:qFormat/>
    <w:pPr>
      <w:spacing w:after="120" w:before="280"/>
    </w:pPr>
    <w:rPr>
      <w:rFonts w:ascii="Arial" w:cs="Arial" w:eastAsia="Arial" w:hAnsi="Arial"/>
      <w:b/>
      <w:bCs/>
      <w:color w:val="14213D"/>
      <w:sz w:val="24"/>
      <w:szCs w:val="24"/>
    </w:rPr>
  </w:style>
  <w:style w:type="paragraph" w:styleId="Heading4">
    <w:name w:val="Heading 4"/>
    <w:basedOn w:val="Normal"/>
    <w:next w:val="Normal"/>
    <w:qFormat/>
    <w:pPr>
      <w:spacing w:after="120" w:before="240"/>
    </w:pPr>
    <w:rPr>
      <w:rFonts w:ascii="Arial" w:cs="Arial" w:eastAsia="Arial" w:hAnsi="Arial"/>
      <w:b/>
      <w:bCs/>
      <w:color w:val="555555"/>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Articulo">
    <w:name w:val="Artículo"/>
    <w:basedOn w:val="Normal"/>
    <w:next w:val="Normal"/>
    <w:qFormat/>
    <w:pPr>
      <w:keepNext/>
    </w:pPr>
    <w:rPr>
      <w:rFonts w:ascii="Arial" w:cs="Arial" w:eastAsia="Arial" w:hAnsi="Arial"/>
      <w:b/>
      <w:bCs/>
      <w:color w:val="14213D"/>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dmpv2hemoct5sacfktuv" Type="http://schemas.openxmlformats.org/officeDocument/2006/relationships/hyperlink" Target="https://www.impo.com.uy/bases/leyes/18719-2010/607" TargetMode="External"/><Relationship Id="rIdfvxkqqc4kjt-azvycaerz" Type="http://schemas.openxmlformats.org/officeDocument/2006/relationships/hyperlink" Target="https://www.impo.com.uy/bases/leyes-originales/18308-2008/19" TargetMode="External"/><Relationship Id="rIdixsw9seuwpqgrkgbvky9i" Type="http://schemas.openxmlformats.org/officeDocument/2006/relationships/hyperlink" Target="https://www.impo.com.uy/bases/leyes/20212-2023/379" TargetMode="External"/><Relationship Id="rIdqwwm7azl2vujmq3wecnne" Type="http://schemas.openxmlformats.org/officeDocument/2006/relationships/hyperlink" Target="https://www.impo.com.uy/bases/leyes/20212-2023/2" TargetMode="External"/><Relationship Id="rIdmwu7fplyftmtefgkdpinz" Type="http://schemas.openxmlformats.org/officeDocument/2006/relationships/hyperlink" Target="https://www.impo.com.uy/bases/leyes-originales/18308-2008/21" TargetMode="External"/><Relationship Id="rIdviekbtmqq3rs8bxzrqocr" Type="http://schemas.openxmlformats.org/officeDocument/2006/relationships/hyperlink" Target="https://www.impo.com.uy/bases/leyes/20446-2025/420" TargetMode="External"/><Relationship Id="rIde6bhj2amnfgfrlo6sct_m" Type="http://schemas.openxmlformats.org/officeDocument/2006/relationships/hyperlink" Target="https://www.impo.com.uy/bases/leyes/20212-2023/2" TargetMode="External"/><Relationship Id="rIdv8lsooz_p5xh4wvjylbei" Type="http://schemas.openxmlformats.org/officeDocument/2006/relationships/hyperlink" Target="https://www.impo.com.uy/bases/leyes/20446-2025/3" TargetMode="External"/><Relationship Id="rIdzaue6zn0otv1fqnhkvf_o" Type="http://schemas.openxmlformats.org/officeDocument/2006/relationships/hyperlink" Target="https://www.impo.com.uy/bases/leyes/20212-2023/396" TargetMode="External"/><Relationship Id="rIdoex_vnoltwtmvzd9ta_5g" Type="http://schemas.openxmlformats.org/officeDocument/2006/relationships/hyperlink" Target="https://www.impo.com.uy/bases/decretos/128-2026" TargetMode="External"/><Relationship Id="rIdjypsgiowaufetg9tpi-7o" Type="http://schemas.openxmlformats.org/officeDocument/2006/relationships/hyperlink" Target="https://www.impo.com.uy/bases/leyes/18308-2008/25" TargetMode="External"/><Relationship Id="rId_6umyjt39j2bhd8-vj0ig" Type="http://schemas.openxmlformats.org/officeDocument/2006/relationships/hyperlink" Target="https://www.impo.com.uy/bases/leyes-originales/20212-2023/396" TargetMode="External"/><Relationship Id="rIdfuxhdttreqyouhgmjnbvk" Type="http://schemas.openxmlformats.org/officeDocument/2006/relationships/hyperlink" Target="https://www.impo.com.uy/bases/leyes/20446-2025/3" TargetMode="External"/><Relationship Id="rIdsoiv4x7oj91kd3zcpkasu" Type="http://schemas.openxmlformats.org/officeDocument/2006/relationships/hyperlink" Target="https://www.impo.com.uy/bases/leyes/20446-2025/425" TargetMode="External"/><Relationship Id="rIdrg22rod4e248yv-1bipcr" Type="http://schemas.openxmlformats.org/officeDocument/2006/relationships/hyperlink" Target="https://www.impo.com.uy/bases/leyes/20212-2023/380" TargetMode="External"/><Relationship Id="rIdxhhynkluwvgjyahjopgtb" Type="http://schemas.openxmlformats.org/officeDocument/2006/relationships/hyperlink" Target="https://www.impo.com.uy/bases/leyes/20212-2023/2" TargetMode="External"/><Relationship Id="rIdozvfo__vci7n52a8u60va" Type="http://schemas.openxmlformats.org/officeDocument/2006/relationships/hyperlink" Target="https://www.impo.com.uy/bases/leyes-originales/18308-2008/24" TargetMode="External"/><Relationship Id="rIdw75jdoxc2gd0nhtk4v8fz" Type="http://schemas.openxmlformats.org/officeDocument/2006/relationships/hyperlink" Target="https://www.impo.com.uy/bases/leyes/20446-2025/426" TargetMode="External"/><Relationship Id="rIdfscl4yfs4sdwytjuybqvi" Type="http://schemas.openxmlformats.org/officeDocument/2006/relationships/hyperlink" Target="https://www.impo.com.uy/bases/leyes/20446-2025/3" TargetMode="External"/><Relationship Id="rIdfzp_x5obepkddarinjxrq" Type="http://schemas.openxmlformats.org/officeDocument/2006/relationships/hyperlink" Target="https://www.impo.com.uy/bases/leyes-originales/18308-2008/25" TargetMode="External"/><Relationship Id="rIdcm61egsmbtbqnr5-x03vv" Type="http://schemas.openxmlformats.org/officeDocument/2006/relationships/hyperlink" Target="https://www.impo.com.uy/bases/leyes/20446-2025/3" TargetMode="External"/><Relationship Id="rIdvjxxvujabrl2qygbzy0vl" Type="http://schemas.openxmlformats.org/officeDocument/2006/relationships/hyperlink" Target="https://www.impo.com.uy/bases/leyes/20446-2025/427" TargetMode="External"/><Relationship Id="rIdt4jps6izouyrkuyuajyjy" Type="http://schemas.openxmlformats.org/officeDocument/2006/relationships/hyperlink" Target="https://www.impo.com.uy/bases/leyes/20212-2023/381" TargetMode="External"/><Relationship Id="rIdrhyvxqxln05aezy5wu3r_" Type="http://schemas.openxmlformats.org/officeDocument/2006/relationships/hyperlink" Target="https://www.impo.com.uy/bases/leyes/20446-2025/421" TargetMode="External"/><Relationship Id="rIdamsm4pfci-vcpdhydqcfn" Type="http://schemas.openxmlformats.org/officeDocument/2006/relationships/hyperlink" Target="https://www.impo.com.uy/bases/leyes/20212-2023/2" TargetMode="External"/><Relationship Id="rIdacljszkcpkzqytbr-ix6a" Type="http://schemas.openxmlformats.org/officeDocument/2006/relationships/hyperlink" Target="https://www.impo.com.uy/bases/leyes/20446-2025/3" TargetMode="External"/><Relationship Id="rIdcjh66ehbe4fx0j5gpb6_t" Type="http://schemas.openxmlformats.org/officeDocument/2006/relationships/hyperlink" Target="https://www.impo.com.uy/bases/leyes-originales/20212-2023/381" TargetMode="External"/><Relationship Id="rId9sjriubz-ixpspuzdodbu" Type="http://schemas.openxmlformats.org/officeDocument/2006/relationships/hyperlink" Target="https://www.impo.com.uy/bases/leyes-originales/18308-2008/30" TargetMode="External"/><Relationship Id="rIdcordhcluxdgywy8plengw" Type="http://schemas.openxmlformats.org/officeDocument/2006/relationships/hyperlink" Target="https://www.impo.com.uy/bases/leyes/18308-2008/38" TargetMode="External"/><Relationship Id="rIdpuspk3holkpp72-elzlop" Type="http://schemas.openxmlformats.org/officeDocument/2006/relationships/hyperlink" Target="https://www.impo.com.uy/bases/leyes/20212-2023/382" TargetMode="External"/><Relationship Id="rIda0ssuohnsfn84peredlua" Type="http://schemas.openxmlformats.org/officeDocument/2006/relationships/hyperlink" Target="https://www.impo.com.uy/bases/leyes/20446-2025/422" TargetMode="External"/><Relationship Id="rId-qopxo_x6llkeyudffti4" Type="http://schemas.openxmlformats.org/officeDocument/2006/relationships/hyperlink" Target="https://www.impo.com.uy/bases/leyes/20212-2023/2" TargetMode="External"/><Relationship Id="rId9aplxvad4hnjprtctg4pw" Type="http://schemas.openxmlformats.org/officeDocument/2006/relationships/hyperlink" Target="https://www.impo.com.uy/bases/leyes/20446-2025/3" TargetMode="External"/><Relationship Id="rIdxcvtvlxoqdowk7tte9po6" Type="http://schemas.openxmlformats.org/officeDocument/2006/relationships/hyperlink" Target="https://www.impo.com.uy/bases/leyes-originales/20212-2023/382" TargetMode="External"/><Relationship Id="rIdkuqrhmwwnyrzutswbhnzw" Type="http://schemas.openxmlformats.org/officeDocument/2006/relationships/hyperlink" Target="https://www.impo.com.uy/bases/leyes-originales/18308-2008/34" TargetMode="External"/><Relationship Id="rIdihetgm9ccclt6iiymdmgq" Type="http://schemas.openxmlformats.org/officeDocument/2006/relationships/hyperlink" Target="https://www.impo.com.uy/bases/leyes/20212-2023/2" TargetMode="External"/><Relationship Id="rIdhxke0q6ui-hbty74t6ypp" Type="http://schemas.openxmlformats.org/officeDocument/2006/relationships/hyperlink" Target="https://www.impo.com.uy/bases/leyes/20212-2023/660" TargetMode="External"/><Relationship Id="rIdcdwxxiaecvv65adprjezq" Type="http://schemas.openxmlformats.org/officeDocument/2006/relationships/hyperlink" Target="https://www.impo.com.uy/bases/leyes/19670-2018/2" TargetMode="External"/><Relationship Id="rIdkkh9yph2fpt0dqqmrhge9" Type="http://schemas.openxmlformats.org/officeDocument/2006/relationships/hyperlink" Target="https://www.impo.com.uy/bases/leyes/20446-2025/3" TargetMode="External"/><Relationship Id="rId5k5ns9w8telmgo2xnhkq6" Type="http://schemas.openxmlformats.org/officeDocument/2006/relationships/hyperlink" Target="https://www.impo.com.uy/bases/leyes/19670-2018/209" TargetMode="External"/><Relationship Id="rIdzyar7rcm-6pws7qd-c33a" Type="http://schemas.openxmlformats.org/officeDocument/2006/relationships/hyperlink" Target="https://www.impo.com.uy/bases/leyes/20446-2025/419" TargetMode="External"/><Relationship Id="rId8ybfchb43med4gvwe0xlv" Type="http://schemas.openxmlformats.org/officeDocument/2006/relationships/hyperlink" Target="https://www.impo.com.uy/bases/leyes/18308-2008/43" TargetMode="External"/><Relationship Id="rIdgpcva06mf1jglrmclwbrs" Type="http://schemas.openxmlformats.org/officeDocument/2006/relationships/hyperlink" Target="https://www.impo.com.uy/bases/leyes/18719-2010/610" TargetMode="External"/><Relationship Id="rIdfopodn6me0vql9kcwr9nw" Type="http://schemas.openxmlformats.org/officeDocument/2006/relationships/hyperlink" Target="https://www.impo.com.uy/bases/leyes/20212-2023/383" TargetMode="External"/><Relationship Id="rId1xk_hv9msbd0ssqa7isd1" Type="http://schemas.openxmlformats.org/officeDocument/2006/relationships/hyperlink" Target="https://www.impo.com.uy/bases/leyes/20212-2023/2" TargetMode="External"/><Relationship Id="rIdeu_x8dlbed3_ar3cizlrj" Type="http://schemas.openxmlformats.org/officeDocument/2006/relationships/hyperlink" Target="https://www.impo.com.uy/bases/leyes-originales/18308-2008/41" TargetMode="External"/><Relationship Id="rIdqqydms65tyaf7-fxezi6m" Type="http://schemas.openxmlformats.org/officeDocument/2006/relationships/hyperlink" Target="https://www.impo.com.uy/bases/leyes/20212-2023/384" TargetMode="External"/><Relationship Id="rId3chxpptfgfemh3pbvodfr" Type="http://schemas.openxmlformats.org/officeDocument/2006/relationships/hyperlink" Target="https://www.impo.com.uy/bases/leyes/20212-2023/2" TargetMode="External"/><Relationship Id="rIdwly0rnq5perpxnk0gawt-" Type="http://schemas.openxmlformats.org/officeDocument/2006/relationships/hyperlink" Target="https://www.impo.com.uy/bases/leyes-originales/18308-2008/42" TargetMode="External"/><Relationship Id="rIdcbgiiugc_la5zuzmq6ref" Type="http://schemas.openxmlformats.org/officeDocument/2006/relationships/hyperlink" Target="https://www.impo.com.uy/bases/leyes/19670-2018/210" TargetMode="External"/><Relationship Id="rIdoceno0n1owgc_k1gy1tiw" Type="http://schemas.openxmlformats.org/officeDocument/2006/relationships/hyperlink" Target="https://www.impo.com.uy/bases/leyes/20212-2023/385" TargetMode="External"/><Relationship Id="rId7mdei_0hobkv08kppx13k" Type="http://schemas.openxmlformats.org/officeDocument/2006/relationships/hyperlink" Target="https://www.impo.com.uy/bases/leyes/19670-2018/2" TargetMode="External"/><Relationship Id="rIdphizgybjqquva1n8wtwtz" Type="http://schemas.openxmlformats.org/officeDocument/2006/relationships/hyperlink" Target="https://www.impo.com.uy/bases/leyes/20212-2023/2" TargetMode="External"/><Relationship Id="rIdy4h5mchnxqlepoomcewrd" Type="http://schemas.openxmlformats.org/officeDocument/2006/relationships/hyperlink" Target="https://www.impo.com.uy/bases/leyes-originales/19670-2018/210" TargetMode="External"/><Relationship Id="rId5ozbgyi6gf1kye1suq3ap" Type="http://schemas.openxmlformats.org/officeDocument/2006/relationships/hyperlink" Target="https://www.impo.com.uy/bases/leyes-originales/18308-2008/43" TargetMode="External"/><Relationship Id="rId13i_morehh6qj5491y74t" Type="http://schemas.openxmlformats.org/officeDocument/2006/relationships/hyperlink" Target="https://www.impo.com.uy/bases/leyes/20212-2023/386" TargetMode="External"/><Relationship Id="rIdrj4-s88tozdqa2d3fwrx6" Type="http://schemas.openxmlformats.org/officeDocument/2006/relationships/hyperlink" Target="https://www.impo.com.uy/bases/leyes/20212-2023/2" TargetMode="External"/><Relationship Id="rIdmmliqd0gs-xxbzdpcy6qt" Type="http://schemas.openxmlformats.org/officeDocument/2006/relationships/hyperlink" Target="https://www.impo.com.uy/bases/leyes-originales/18308-2008/46" TargetMode="External"/><Relationship Id="rIdgt0urga3a-k0ezy1ickvj" Type="http://schemas.openxmlformats.org/officeDocument/2006/relationships/hyperlink" Target="https://www.impo.com.uy/bases/leyes/19355-2015/502" TargetMode="External"/><Relationship Id="rIdihlpip92qiiwovdrq1aj-" Type="http://schemas.openxmlformats.org/officeDocument/2006/relationships/hyperlink" Target="https://www.impo.com.uy/bases/leyes/19355-2015/3" TargetMode="External"/><Relationship Id="rIdztjc915hbxcpw06bzvs9w" Type="http://schemas.openxmlformats.org/officeDocument/2006/relationships/hyperlink" Target="https://www.impo.com.uy/bases/leyes-originales/18308-2008/47" TargetMode="External"/><Relationship Id="rIda2yclpx0yegyj0ccxzb2t" Type="http://schemas.openxmlformats.org/officeDocument/2006/relationships/hyperlink" Target="https://www.impo.com.uy/bases/leyes/20212-2023/387" TargetMode="External"/><Relationship Id="rIdu-qmcqicnhu6kkgzy7bek" Type="http://schemas.openxmlformats.org/officeDocument/2006/relationships/hyperlink" Target="https://www.impo.com.uy/bases/leyes/20212-2023/2" TargetMode="External"/><Relationship Id="rIdwpwiamhbjgbsj2samdnea" Type="http://schemas.openxmlformats.org/officeDocument/2006/relationships/hyperlink" Target="https://www.impo.com.uy/bases/leyes-originales/18308-2008/49" TargetMode="External"/><Relationship Id="rIdzew56c1cc21mus5k-xtji" Type="http://schemas.openxmlformats.org/officeDocument/2006/relationships/hyperlink" Target="https://www.impo.com.uy/bases/leyes/19355-2015/488" TargetMode="External"/><Relationship Id="rId_jlb4k-uuy_mvvmfzd-gs" Type="http://schemas.openxmlformats.org/officeDocument/2006/relationships/hyperlink" Target="https://www.impo.com.uy/bases/leyes/19355-2015/3" TargetMode="External"/><Relationship Id="rIdj3u5nzfrjs_2fkovu0-j6" Type="http://schemas.openxmlformats.org/officeDocument/2006/relationships/hyperlink" Target="https://www.impo.com.uy/bases/leyes-originales/18308-2008/53" TargetMode="External"/><Relationship Id="rIdmvxmpgldbve6afv-rwtdv" Type="http://schemas.openxmlformats.org/officeDocument/2006/relationships/hyperlink" Target="https://www.impo.com.uy/bases/leyes/19661-2018/11" TargetMode="External"/><Relationship Id="rIdjw2sj0rocmjqc0gkacxba" Type="http://schemas.openxmlformats.org/officeDocument/2006/relationships/hyperlink" Target="https://www.impo.com.uy/bases/leyes/19149-2013/285" TargetMode="External"/><Relationship Id="rIdb6rr5biprbzackpqwur2t" Type="http://schemas.openxmlformats.org/officeDocument/2006/relationships/hyperlink" Target="https://www.impo.com.uy/bases/leyes/19149-2013/289" TargetMode="External"/><Relationship Id="rIdzexhnvtvnfrqtsry1etok" Type="http://schemas.openxmlformats.org/officeDocument/2006/relationships/hyperlink" Target="https://www.impo.com.uy/bases/decretos/389-2014" TargetMode="External"/><Relationship Id="rIdwfc4jjkgoio0wp6w2et-7" Type="http://schemas.openxmlformats.org/officeDocument/2006/relationships/hyperlink" Target="https://www.impo.com.uy/bases/leyes-originales/19149-2013/285" TargetMode="External"/><Relationship Id="rIdz5pcnqchebahr6zcqxtio" Type="http://schemas.openxmlformats.org/officeDocument/2006/relationships/hyperlink" Target="https://www.impo.com.uy/bases/leyes-originales/19149-2013/289" TargetMode="External"/><Relationship Id="rIdkbfxbzhdx01hjks8td5zp" Type="http://schemas.openxmlformats.org/officeDocument/2006/relationships/hyperlink" Target="https://www.impo.com.uy/bases/leyes-originales/18308-2008/65" TargetMode="External"/><Relationship Id="rIdzd9st74xwnjz3mpl1qqrv" Type="http://schemas.openxmlformats.org/officeDocument/2006/relationships/hyperlink" Target="https://www.impo.com.uy/bases/leyes/19996-2021/235" TargetMode="External"/><Relationship Id="rIdwvqfr9haymiuritiffk-m" Type="http://schemas.openxmlformats.org/officeDocument/2006/relationships/hyperlink" Target="https://www.impo.com.uy/bases/leyes/19996-2021/2" TargetMode="External"/><Relationship Id="rIdotk-ixtzptpbfawoohgjv" Type="http://schemas.openxmlformats.org/officeDocument/2006/relationships/hyperlink" Target="https://www.impo.com.uy/bases/leyes/19355-2015/3" TargetMode="External"/><Relationship Id="rIdvrpse_3hqs6w9bk-lfqtq" Type="http://schemas.openxmlformats.org/officeDocument/2006/relationships/hyperlink" Target="https://www.impo.com.uy/bases/leyes/19355-2015/489" TargetMode="External"/><Relationship Id="rIdwksbi9ewi8a4w5mdhqz5e" Type="http://schemas.openxmlformats.org/officeDocument/2006/relationships/hyperlink" Target="https://www.impo.com.uy/bases/leyes-originales/19355-2015/489" TargetMode="External"/><Relationship Id="rIdru2cbwvq3qndbvkwjh_g9" Type="http://schemas.openxmlformats.org/officeDocument/2006/relationships/hyperlink" Target="https://www.impo.com.uy/bases/leyes-originales/18308-2008/69" TargetMode="External"/><Relationship Id="rIdg_egxmmvqmo-jttl2_ocg" Type="http://schemas.openxmlformats.org/officeDocument/2006/relationships/hyperlink" Target="https://www.impo.com.uy/bases/leyes/20446-2025/3" TargetMode="External"/><Relationship Id="rIdiwsrrprtoqaackwgrahox" Type="http://schemas.openxmlformats.org/officeDocument/2006/relationships/hyperlink" Target="https://www.impo.com.uy/bases/leyes/20446-2025/424" TargetMode="External"/><Relationship Id="rIdg7hhtpwctomxnebq--uh6" Type="http://schemas.openxmlformats.org/officeDocument/2006/relationships/hyperlink" Target="https://www.impo.com.uy/bases/leyes/20212-2023/389" TargetMode="External"/><Relationship Id="rIdp4iplaorlw5lzpwhdjjht" Type="http://schemas.openxmlformats.org/officeDocument/2006/relationships/hyperlink" Target="https://www.impo.com.uy/bases/leyes/20212-2023/2" TargetMode="External"/><Relationship Id="rId8aleu5n3itfw_vsi0ruit" Type="http://schemas.openxmlformats.org/officeDocument/2006/relationships/hyperlink" Target="https://www.impo.com.uy/bases/decretos/333-2024" TargetMode="External"/><Relationship Id="rIdejlbx3xdhly1xzegvm0ub" Type="http://schemas.openxmlformats.org/officeDocument/2006/relationships/hyperlink" Target="https://www.impo.com.uy/bases/leyes-originales/18308-2008/79" TargetMode="External"/><Relationship Id="rIdy0onmq3e31r7lu1qkgsod" Type="http://schemas.openxmlformats.org/officeDocument/2006/relationships/hyperlink" Target="https://www.impo.com.uy/bases/leyes/20212-2023/2" TargetMode="External"/><Relationship Id="rIdau9f0syomxyj_1hbmot-g" Type="http://schemas.openxmlformats.org/officeDocument/2006/relationships/hyperlink" Target="https://www.impo.com.uy/bases/leyes/20212-2023/388" TargetMode="External"/><Relationship Id="rIdzcwubgadl4jnbeabwxe1r" Type="http://schemas.openxmlformats.org/officeDocument/2006/relationships/hyperlink" Target="https://www.impo.com.uy/bases/leyes/10723-1946/1" TargetMode="External"/><Relationship Id="rIdnjoodrlve-_b94htu6ix_" Type="http://schemas.openxmlformats.org/officeDocument/2006/relationships/hyperlink" Target="https://www.impo.com.uy/bases/leyes/10723-1946/9" TargetMode="External"/><Relationship Id="rIdlxguh5zosb11awpbymzil" Type="http://schemas.openxmlformats.org/officeDocument/2006/relationships/hyperlink" Target="https://www.impo.com.uy/bases/leyes/10723-1946/11" TargetMode="External"/><Relationship Id="rIdtgqyz1i792uj5hayb0w0w" Type="http://schemas.openxmlformats.org/officeDocument/2006/relationships/hyperlink" Target="https://www.impo.com.uy/bases/leyes/10723-1946/13" TargetMode="External"/><Relationship Id="rIdyxqfwhafdplvhm1cywl2u" Type="http://schemas.openxmlformats.org/officeDocument/2006/relationships/hyperlink" Target="https://www.impo.com.uy/bases/leyes/10723-1946/15" TargetMode="External"/><Relationship Id="rIdfl6v5dtl9n6_jgqlnenzk" Type="http://schemas.openxmlformats.org/officeDocument/2006/relationships/hyperlink" Target="https://www.impo.com.uy/bases/leyes/10723-1946/16" TargetMode="External"/><Relationship Id="rIdbkppa2rtnwgzkghparj7u" Type="http://schemas.openxmlformats.org/officeDocument/2006/relationships/hyperlink" Target="https://www.impo.com.uy/bases/leyes/10723-1946/19" TargetMode="External"/><Relationship Id="rIdnqdqhbzoddueygpzf_abb" Type="http://schemas.openxmlformats.org/officeDocument/2006/relationships/hyperlink" Target="https://www.impo.com.uy/bases/leyes/13493-1966/1" TargetMode="External"/><Relationship Id="rIdnsvfuoovbxr63am1r0a-w" Type="http://schemas.openxmlformats.org/officeDocument/2006/relationships/hyperlink" Target="https://www.impo.com.uy/bases/leyes/17292-2001/48" TargetMode="External"/><Relationship Id="rId3gazdlmlvx2nwnzjdo-u-" Type="http://schemas.openxmlformats.org/officeDocument/2006/relationships/hyperlink" Target="https://www.impo.com.uy/bases/leyes/9515-1935/19" TargetMode="External"/><Relationship Id="rIdxzfkliqyfgz8mr4p_ojnu" Type="http://schemas.openxmlformats.org/officeDocument/2006/relationships/hyperlink" Target="https://www.impo.com.uy/bases/leyes/9515-1935/35" TargetMode="External"/><Relationship Id="rId10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de Ordenamiento Territorial y Desarrollo Sostenible · texto consolidado vigente al 27 de octubre de 2026</dc:title>
  <dc:subject>Ley N.º 18.308 de 2008</dc:subject>
  <dc:creator>Texto Vigente</dc:creator>
  <dc:description>Ley N.º 18.308 de 2008. Fuente: IMPO (https://www.impo.com.uy/bases/leyes/18308-2008). https://www.textovigente.com/ley-18308/</dc:description>
  <cp:lastModifiedBy>Un-named</cp:lastModifiedBy>
  <cp:revision>1</cp:revision>
  <dcterms:created xsi:type="dcterms:W3CDTF">2026-10-27T16:00:29.370Z</dcterms:created>
  <dcterms:modified xsi:type="dcterms:W3CDTF">2026-10-27T16:00:29.370Z</dcterms:modified>
</cp:coreProperties>
</file>

<file path=docProps/custom.xml><?xml version="1.0" encoding="utf-8"?>
<Properties xmlns="http://schemas.openxmlformats.org/officeDocument/2006/custom-properties" xmlns:vt="http://schemas.openxmlformats.org/officeDocument/2006/docPropsVTypes"/>
</file>