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de Reactivación Económica</w:t>
      </w:r>
    </w:p>
    <w:p>
      <w:pPr>
        <w:spacing w:after="300"/>
      </w:pPr>
      <w:r>
        <w:rPr>
          <w:rFonts w:ascii="Arial" w:cs="Arial" w:eastAsia="Arial" w:hAnsi="Arial"/>
          <w:sz w:val="24"/>
          <w:szCs w:val="24"/>
        </w:rPr>
        <w:t xml:space="preserve">Ley N.º 17.555 de 2002</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19.996 de 03/11/2021</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83 artículos, 57 con notas de modificación, 3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18 de septiembre de 2002, publicada el 19 de septiembre de 2002.</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https://www.impo.com.uy/bases/leyes/17555-2002</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https://www.textovigente.com/ley-17555/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https://www.impo.com.uy/bases/leyes/17555-2002?json=true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Reducción de aportes a las obras privadas</w:t>
      </w:r>
    </w:p>
    <w:p>
      <w:pPr>
        <w:spacing w:after="120"/>
        <w:jc w:val="both"/>
      </w:pPr>
      <w:r>
        <w:rPr>
          <w:sz w:val="22"/>
          <w:szCs w:val="22"/>
        </w:rPr>
        <w:t xml:space="preserve">(Reducción de aportes a las obras privadas).- Los propietarios de las obras privadas del sector de la construcción que construyan al amparo del régimen de propiedad horizontal o con declaración de interés turístico o nacional, iniciadas antes del 31 de diciembre de 2003 o que estando suspendidas a la fecha de la promulgación de la presente ley se reinicien antes del 31 de diciembre de 2003, pagarán en concepto del Aporte Unificado de la Construcción previsto en el Decreto-Ley Nº 14.411, de 7 de agosto de 1975, una alícuota del aporte unificado del 50% (cincuenta por ciento). Este beneficio también alcanzará a las construcciones que sean propiedad de cooperativas de vivienda.</w:t>
      </w:r>
    </w:p>
    <w:p>
      <w:pPr>
        <w:spacing w:after="120"/>
        <w:jc w:val="both"/>
      </w:pPr>
      <w:r>
        <w:rPr>
          <w:sz w:val="22"/>
          <w:szCs w:val="22"/>
        </w:rPr>
        <w:t xml:space="preserve">Las viviendas nuevas que se construyan fuera del régimen de propiedad horizontal, en las condiciones establecidas en el inciso precedente, pagarán en concepto del Aporte Unificado de la Construcción una alícuota que no superará el 62% (sesenta y dos por ciento).</w:t>
      </w:r>
    </w:p>
    <w:p>
      <w:pPr>
        <w:spacing w:after="120"/>
        <w:jc w:val="both"/>
      </w:pPr>
      <w:r>
        <w:rPr>
          <w:sz w:val="22"/>
          <w:szCs w:val="22"/>
        </w:rPr>
        <w:t xml:space="preserve">El beneficio previsto en los incisos anteriores regirá para los aportes que se devenguen desde la vigencia de la presente ley hasta el 31 de diciembre de 2005.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myl6cbpmdkd1mbgn_bmi">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Exoneración del Impuesto al Valor Agregado a intereses</w:t>
      </w:r>
    </w:p>
    <w:p>
      <w:pPr>
        <w:spacing w:after="120"/>
        <w:jc w:val="both"/>
      </w:pPr>
      <w:r>
        <w:rPr>
          <w:sz w:val="22"/>
          <w:szCs w:val="22"/>
        </w:rPr>
        <w:t xml:space="preserve">(Exoneración del Impuesto al Valor Agregado a intereses).- Exonérase del Impuesto al Valor Agregado a los intereses de los préstamos destinados a la primera enajenación o promesa de enajenación de unidades de propiedad horizontal, concedidos por las instituciones de intermediación financiera comprendidas en el Decreto-Ley Nº 15.322, de 17 de setiembre de 1982.</w:t>
      </w:r>
    </w:p>
    <w:p>
      <w:pPr>
        <w:spacing w:after="120"/>
        <w:jc w:val="both"/>
      </w:pPr>
      <w:r>
        <w:rPr>
          <w:sz w:val="22"/>
          <w:szCs w:val="22"/>
        </w:rPr>
        <w:t xml:space="preserve">Esta disposición regirá para préstamos otorgados dentro de los 12 meses siguientes a la fecha de entrada en vigencia de la presente ley.</w:t>
      </w:r>
    </w:p>
    <w:p>
      <w:pPr>
        <w:spacing w:after="120"/>
        <w:jc w:val="both"/>
      </w:pPr>
      <w:r>
        <w:rPr>
          <w:sz w:val="22"/>
          <w:szCs w:val="22"/>
        </w:rPr>
        <w:t xml:space="preserve">La exoneración se mantendrá en el caso en que se produzcan novaciones de deudas originadas en préstamos que hayan sido objeto del beneficio establecido en la presente disposición.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ety-_rhzcwwmxsqkyi3h">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Exoneración del Impuesto a las Transmisiones Patrimoniales</w:t>
      </w:r>
    </w:p>
    <w:p>
      <w:pPr>
        <w:spacing w:after="120"/>
        <w:jc w:val="both"/>
      </w:pPr>
      <w:r>
        <w:rPr>
          <w:sz w:val="22"/>
          <w:szCs w:val="22"/>
        </w:rPr>
        <w:t xml:space="preserve">(Exoneración del Impuesto a las Transmisiones Patrimoniales).- El Poder Ejecutivo otorgará un certificado de crédito por el monto resultante del Impuesto a las Transmisiones Patrimoniales establecido en el Título 19 del Texto Ordenado 1996 a la parte vendedora o promitente vendedora, así como a la parte compradora o promitente compradora, por los actos referidos en los literales A) y B) del artículo 1º del mismo, por la primera enajenación o promesa de enajenación de unidades de propiedad horizontal.</w:t>
      </w:r>
    </w:p>
    <w:p>
      <w:pPr>
        <w:spacing w:after="120"/>
        <w:jc w:val="both"/>
      </w:pPr>
      <w:r>
        <w:rPr>
          <w:sz w:val="22"/>
          <w:szCs w:val="22"/>
        </w:rPr>
        <w:t xml:space="preserve">Este crédito será endosable por única vez a contribuyentes del Aporte Unificado de la Construcción (Decreto-Ley Nº 14.411, de 7 de agosto de 1975), y sólo se admitirá para compensar aportes del Banco de Previsión Social para construcción.</w:t>
      </w:r>
    </w:p>
    <w:p>
      <w:pPr>
        <w:spacing w:after="120"/>
        <w:jc w:val="both"/>
      </w:pPr>
      <w:r>
        <w:rPr>
          <w:sz w:val="22"/>
          <w:szCs w:val="22"/>
        </w:rPr>
        <w:t xml:space="preserve">El beneficio se aplicará a la primera enajenación o promesa de enajenación que se otorgue antes del 31 de diciembre de 2003, facultándose al Poder Ejecutivo a extender dicho plazo.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5g3q_hhl5tpu0djfjie1">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Refinanciación de multas y recargos de aportes personales</w:t>
      </w:r>
    </w:p>
    <w:p>
      <w:pPr>
        <w:spacing w:after="120"/>
        <w:jc w:val="both"/>
      </w:pPr>
      <w:r>
        <w:rPr>
          <w:sz w:val="22"/>
          <w:szCs w:val="22"/>
        </w:rPr>
        <w:t xml:space="preserve">(Refinanciación de multas y recargos de aportes personales).- Los contribuyentes que, al 30 de junio de 2002, sean deudores de aportes personales por dependientes ante el Banco de Previsión Social, podrán cancelar sus deudas en la siguiente forma:</w:t>
      </w:r>
    </w:p>
    <w:p>
      <w:pPr>
        <w:spacing w:after="120"/>
        <w:ind w:left="567"/>
        <w:jc w:val="both"/>
      </w:pPr>
      <w:r>
        <w:rPr>
          <w:sz w:val="22"/>
          <w:szCs w:val="22"/>
        </w:rPr>
        <w:t xml:space="preserve">A) El monto de la obligación original se cancelará de acuerdo con las</w:t>
      </w:r>
    </w:p>
    <w:p>
      <w:pPr>
        <w:spacing w:after="120"/>
        <w:jc w:val="both"/>
      </w:pPr>
      <w:r>
        <w:rPr>
          <w:sz w:val="22"/>
          <w:szCs w:val="22"/>
        </w:rPr>
        <w:t xml:space="preserve">modalidades vigentes al respecto en el Banco de Previsión Social.</w:t>
      </w:r>
    </w:p>
    <w:p>
      <w:pPr>
        <w:spacing w:after="120"/>
        <w:ind w:left="567"/>
        <w:jc w:val="both"/>
      </w:pPr>
      <w:r>
        <w:rPr>
          <w:sz w:val="22"/>
          <w:szCs w:val="22"/>
        </w:rPr>
        <w:t xml:space="preserve">B) En sustitución de las multas y recargos, se deberá pagar la</w:t>
      </w:r>
    </w:p>
    <w:p>
      <w:pPr>
        <w:spacing w:after="120"/>
        <w:jc w:val="both"/>
      </w:pPr>
      <w:r>
        <w:rPr>
          <w:sz w:val="22"/>
          <w:szCs w:val="22"/>
        </w:rPr>
        <w:t xml:space="preserve">rentabilidad que el monto a que refiere el literal anterior hubiera</w:t>
      </w:r>
    </w:p>
    <w:p>
      <w:pPr>
        <w:spacing w:after="120"/>
        <w:jc w:val="both"/>
      </w:pPr>
      <w:r>
        <w:rPr>
          <w:sz w:val="22"/>
          <w:szCs w:val="22"/>
        </w:rPr>
        <w:t xml:space="preserve">generado entre la fecha de la obligación original y la del</w:t>
      </w:r>
    </w:p>
    <w:p>
      <w:pPr>
        <w:spacing w:after="120"/>
        <w:jc w:val="both"/>
      </w:pPr>
      <w:r>
        <w:rPr>
          <w:sz w:val="22"/>
          <w:szCs w:val="22"/>
        </w:rPr>
        <w:t xml:space="preserve">convenio. A tales efectos, la obligación original se convertirá a</w:t>
      </w:r>
    </w:p>
    <w:p>
      <w:pPr>
        <w:spacing w:after="120"/>
        <w:jc w:val="both"/>
      </w:pPr>
      <w:r>
        <w:rPr>
          <w:sz w:val="22"/>
          <w:szCs w:val="22"/>
        </w:rPr>
        <w:t xml:space="preserve">unidades reajustables del mes en que fue exigible y sobre esta base</w:t>
      </w:r>
    </w:p>
    <w:p>
      <w:pPr>
        <w:spacing w:after="120"/>
        <w:jc w:val="both"/>
      </w:pPr>
      <w:r>
        <w:rPr>
          <w:sz w:val="22"/>
          <w:szCs w:val="22"/>
        </w:rPr>
        <w:t xml:space="preserve">se aplicará la rentabilidad máxima del mercado de Administradoras de</w:t>
      </w:r>
    </w:p>
    <w:p>
      <w:pPr>
        <w:spacing w:after="120"/>
        <w:jc w:val="both"/>
      </w:pPr>
      <w:r>
        <w:rPr>
          <w:sz w:val="22"/>
          <w:szCs w:val="22"/>
        </w:rPr>
        <w:t xml:space="preserve">Fondos de Ahorro Previsional.</w:t>
      </w:r>
    </w:p>
    <w:p>
      <w:pPr>
        <w:spacing w:after="120"/>
        <w:ind w:left="567"/>
        <w:jc w:val="both"/>
      </w:pPr>
      <w:r>
        <w:rPr>
          <w:sz w:val="22"/>
          <w:szCs w:val="22"/>
        </w:rPr>
        <w:t xml:space="preserve">C) La suma deducida según lo establecido en el literal precedente podrá</w:t>
      </w:r>
    </w:p>
    <w:p>
      <w:pPr>
        <w:spacing w:after="120"/>
        <w:jc w:val="both"/>
      </w:pPr>
      <w:r>
        <w:rPr>
          <w:sz w:val="22"/>
          <w:szCs w:val="22"/>
        </w:rPr>
        <w:t xml:space="preserve">cancelarse conforme a los mecanismos dispuestos en el inciso tercero</w:t>
      </w:r>
    </w:p>
    <w:p>
      <w:pPr>
        <w:spacing w:after="120"/>
        <w:jc w:val="both"/>
      </w:pPr>
      <w:r>
        <w:rPr>
          <w:sz w:val="22"/>
          <w:szCs w:val="22"/>
        </w:rPr>
        <w:t xml:space="preserve">del artículo 5º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64ohudinuaeyrkbjujbz">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y </w:t>
      </w:r>
      <w:hyperlink w:history="1" r:id="rIdrc36g1tovgbz5low9be4u">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Créase un régimen de facilidades de pago para los tributos que recauda el Banco de Previsión Social, adeudados al 30 de junio de 2002, excluidos los aportes personales por dependientes en los términos establecidos en el artículo precedente.</w:t>
      </w:r>
    </w:p>
    <w:p>
      <w:pPr>
        <w:spacing w:after="120"/>
        <w:jc w:val="both"/>
      </w:pPr>
      <w:r>
        <w:rPr>
          <w:sz w:val="22"/>
          <w:szCs w:val="22"/>
        </w:rPr>
        <w:t xml:space="preserve">A los efectos del otorgamiento de estas facilidades se tomará el monto de la deuda original en unidades reajustables al momento en que se generó la obligación, adicionándole un interés igual al de la rentabilidad máxima del mercado de Administradoras de Fondos de Ahorro Previsional, hasta la fecha de celebración del convenio.</w:t>
      </w:r>
    </w:p>
    <w:p>
      <w:pPr>
        <w:spacing w:after="120"/>
        <w:jc w:val="both"/>
      </w:pPr>
      <w:r>
        <w:rPr>
          <w:sz w:val="22"/>
          <w:szCs w:val="22"/>
        </w:rPr>
        <w:t xml:space="preserve">El monto resultante será pagadero en hasta 72 cuotas mensuales calculadas en unidades reajustables, más el 2% (dos por ciento) anual, hasta la extinción total de la obligación, con un período de gracia inicial de 6 meses contados a partir de la firma del convenio de refinanciación.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lnvpckn7cmwjzdodgtzs">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y </w:t>
      </w:r>
      <w:hyperlink w:history="1" r:id="rIduc2rl01mnwnsn_tsrg2sa">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A los trabajadores no dependientes que regularicen su situación al amparo de la presente ley, les serán registrados sus servicios y asignaciones computables por los períodos y montos declarados, una vez canceladas totalmente las obligaciones convenidas, siempre que el contribuyente se encontrara registrado ante el Banco de Previsión Social a la fecha de promulgación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p9icuaqe6jmurghazfbj">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En el caso del Aporte Unificado de la Construcción (Decreto-Ley Nº 14.411, de 7 de agosto de 1975), quienes se amparen en el plan de facilidades a que refiere la presente ley, deberán liquidar y pagar al contado, en el momento de suscripción del respectivo convenio, las cargas salariales incluidas en la referida prestación cuyo plazo de pago estuviera vencido.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tkiovvhyxou9ufhekbzd">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Los convenios suscritos al amparo del régimen de facilidades previsto por los artículos 4º y 5º de la presente ley, caducarán por la falta de pago de tres cuotas consecutivas del plan de financiación o la falta de tres meses de sus obligaciones corrientes.</w:t>
      </w:r>
    </w:p>
    <w:p>
      <w:pPr>
        <w:spacing w:after="120"/>
        <w:jc w:val="both"/>
      </w:pPr>
      <w:r>
        <w:rPr>
          <w:sz w:val="22"/>
          <w:szCs w:val="22"/>
        </w:rPr>
        <w:t xml:space="preserve">En los casos referidos por el inciso precedente, se hará exigible el saldo de la deuda originaria convenida, con más los recargos que correspondieren de acuerdo al artículo 94 del Código Tributario hasta su efectiva cancelación.</w:t>
      </w:r>
    </w:p>
    <w:p>
      <w:pPr>
        <w:spacing w:after="120"/>
        <w:jc w:val="both"/>
      </w:pPr>
      <w:r>
        <w:rPr>
          <w:sz w:val="22"/>
          <w:szCs w:val="22"/>
        </w:rPr>
        <w:t xml:space="preserve">Facúltase al Poder Ejecutivo a admitir la rehabilitación de las facilidades de pago referidas en el presente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or93t10qy0laa7gl_hlx">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Fíjase un plazo de 90 días a partir de la vigencia de la presente ley para ampararse al régimen de facilidades previsto en las normas precedentes.</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Declárase que los honorarios generados por la actuación de los profesionales dependientes del Banco de Previsión Social, cualquiera sea la naturaleza del juicio en el que intervengan, corresponden al organismo, el que deberá reglamentar con carácter general el destino a dar a los mismos, incluyendo la eventual renuncia total o parcial a los referidos honorarios.</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Régimen de facilidades</w:t>
      </w:r>
    </w:p>
    <w:p>
      <w:pPr>
        <w:spacing w:after="120"/>
        <w:jc w:val="both"/>
      </w:pPr>
      <w:r>
        <w:rPr>
          <w:sz w:val="22"/>
          <w:szCs w:val="22"/>
        </w:rPr>
        <w:t xml:space="preserve">(Régimen de facilidades).- Facúltase al Poder Ejecutivo a otorgar a los sujetos pasivos de los impuestos recaudados por la Dirección General Impositiva, un régimen especial de facilidades por las obligaciones tributarias vencidas, cuyo plazo de pago sea anterior al 6 de agosto de 2002, dentro de las condiciones establecidas en los artículos siguientes.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bas1yp59mgzpmgabsedmp">
        <w:r>
          <w:rPr>
            <w:rStyle w:val="Hyperlink"/>
            <w:rFonts w:ascii="Arial" w:cs="Arial" w:eastAsia="Arial" w:hAnsi="Arial"/>
            <w:sz w:val="17"/>
            <w:szCs w:val="17"/>
          </w:rPr>
          <w:t xml:space="preserve">Nº 370/002</w:t>
        </w:r>
      </w:hyperlink>
      <w:r>
        <w:rPr>
          <w:rFonts w:ascii="Arial" w:cs="Arial" w:eastAsia="Arial" w:hAnsi="Arial"/>
          <w:color w:val="555555"/>
          <w:sz w:val="17"/>
          <w:szCs w:val="17"/>
        </w:rPr>
        <w:t xml:space="preserve"> de 23/09/2002.
Ver en esta norma, artículo: </w:t>
      </w:r>
      <w:hyperlink w:history="1" r:id="rIdsxq-ynxmctriahvpn2az-">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Obligaciones comprendidas</w:t>
      </w:r>
    </w:p>
    <w:p>
      <w:pPr>
        <w:spacing w:after="120"/>
        <w:jc w:val="both"/>
      </w:pPr>
      <w:r>
        <w:rPr>
          <w:sz w:val="22"/>
          <w:szCs w:val="22"/>
        </w:rPr>
        <w:t xml:space="preserve">(Obligaciones comprendidas).- A los efectos del presente régimen de facilidades, las obligaciones tributarias se dividirán en:</w:t>
      </w:r>
    </w:p>
    <w:p>
      <w:pPr>
        <w:spacing w:after="120"/>
        <w:ind w:left="567"/>
        <w:jc w:val="both"/>
      </w:pPr>
      <w:r>
        <w:rPr>
          <w:sz w:val="22"/>
          <w:szCs w:val="22"/>
        </w:rPr>
        <w:t xml:space="preserve">A) Deudas por tributos.</w:t>
      </w:r>
    </w:p>
    <w:p>
      <w:pPr>
        <w:spacing w:after="120"/>
        <w:ind w:left="567"/>
        <w:jc w:val="both"/>
      </w:pPr>
      <w:r>
        <w:rPr>
          <w:sz w:val="22"/>
          <w:szCs w:val="22"/>
        </w:rPr>
        <w:t xml:space="preserve">B) Deudas por multas y recargos.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2q_gwfeb3wepumtbl3yc6">
        <w:r>
          <w:rPr>
            <w:rStyle w:val="Hyperlink"/>
            <w:rFonts w:ascii="Arial" w:cs="Arial" w:eastAsia="Arial" w:hAnsi="Arial"/>
            <w:sz w:val="17"/>
            <w:szCs w:val="17"/>
          </w:rPr>
          <w:t xml:space="preserve">Nº 370/002</w:t>
        </w:r>
      </w:hyperlink>
      <w:r>
        <w:rPr>
          <w:rFonts w:ascii="Arial" w:cs="Arial" w:eastAsia="Arial" w:hAnsi="Arial"/>
          <w:color w:val="555555"/>
          <w:sz w:val="17"/>
          <w:szCs w:val="17"/>
        </w:rPr>
        <w:t xml:space="preserve"> de 23/09/2002.
Ver en esta norma, artículos: </w:t>
      </w:r>
      <w:hyperlink w:history="1" r:id="rId58ncvr_1wmmjrbb1n2paq">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y </w:t>
      </w:r>
      <w:hyperlink w:history="1" r:id="rIdoyuawhykcrnxpns0gxkiw">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Remisión</w:t>
      </w:r>
    </w:p>
    <w:p>
      <w:pPr>
        <w:spacing w:after="120"/>
        <w:jc w:val="both"/>
      </w:pPr>
      <w:r>
        <w:rPr>
          <w:sz w:val="22"/>
          <w:szCs w:val="22"/>
        </w:rPr>
        <w:t xml:space="preserve">(Remisión).- El Poder Ejecutivo podrá disponer la remisión total o parcial de las deudas por mora del literal B). Dicha remisión no podrá exceder la diferencia entre el monto de las sanciones calculado de acuerdo al régimen general y el monto que resulte de aplicar a los tributos vencidos el índice de precios al consumo entre el mes de vencimiento de la obligación y el de la suscripción del respectivo convenio.</w:t>
      </w:r>
    </w:p>
    <w:p>
      <w:pPr>
        <w:spacing w:after="120"/>
        <w:jc w:val="both"/>
      </w:pPr>
      <w:r>
        <w:rPr>
          <w:sz w:val="22"/>
          <w:szCs w:val="22"/>
        </w:rPr>
        <w:t xml:space="preserve">El Poder Ejecutivo estará facultado a establecer, dentro del límite a que refiere el inciso anterior, porcentajes diferenciales de remisión para los distintos grupos de sujetos pasivos, considerando su conducta tributaria y el monto anual de sus ingresos.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rihw9zfiz4pvskhi-bk4t">
        <w:r>
          <w:rPr>
            <w:rStyle w:val="Hyperlink"/>
            <w:rFonts w:ascii="Arial" w:cs="Arial" w:eastAsia="Arial" w:hAnsi="Arial"/>
            <w:sz w:val="17"/>
            <w:szCs w:val="17"/>
          </w:rPr>
          <w:t xml:space="preserve">Nº 370/002</w:t>
        </w:r>
      </w:hyperlink>
      <w:r>
        <w:rPr>
          <w:rFonts w:ascii="Arial" w:cs="Arial" w:eastAsia="Arial" w:hAnsi="Arial"/>
          <w:color w:val="555555"/>
          <w:sz w:val="17"/>
          <w:szCs w:val="17"/>
        </w:rPr>
        <w:t xml:space="preserve"> de 23/09/2002.
Ver en esta norma, artículo: </w:t>
      </w:r>
      <w:hyperlink w:history="1" r:id="rIdcdxuvy6pk9_8kdfpt-cxq">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Procedimiento</w:t>
      </w:r>
    </w:p>
    <w:p>
      <w:pPr>
        <w:spacing w:after="120"/>
        <w:jc w:val="both"/>
      </w:pPr>
      <w:r>
        <w:rPr>
          <w:sz w:val="22"/>
          <w:szCs w:val="22"/>
        </w:rPr>
        <w:t xml:space="preserve">(Procedimiento).- El monto de la deuda por tributos, y el de la parte de multas y recargos que no sean objeto de remisión, de acuerdo a lo establecido en el artículo anterior, se convertirá a Unidades Indexadas (UI) a la fecha de la firma del convenio y se pagará en estas unidades hasta en treinta y seis meses, no generándose en tal caso los intereses de financiación a que refiere el inciso primero del artículo 33 del Código Tributario.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jfearzvopmu4glakxyqk6">
        <w:r>
          <w:rPr>
            <w:rStyle w:val="Hyperlink"/>
            <w:rFonts w:ascii="Arial" w:cs="Arial" w:eastAsia="Arial" w:hAnsi="Arial"/>
            <w:sz w:val="17"/>
            <w:szCs w:val="17"/>
          </w:rPr>
          <w:t xml:space="preserve">Nº 370/002</w:t>
        </w:r>
      </w:hyperlink>
      <w:r>
        <w:rPr>
          <w:rFonts w:ascii="Arial" w:cs="Arial" w:eastAsia="Arial" w:hAnsi="Arial"/>
          <w:color w:val="555555"/>
          <w:sz w:val="17"/>
          <w:szCs w:val="17"/>
        </w:rPr>
        <w:t xml:space="preserve"> de 23/09/2002.</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Convenios vigentes</w:t>
      </w:r>
    </w:p>
    <w:p>
      <w:pPr>
        <w:spacing w:after="120"/>
        <w:jc w:val="both"/>
      </w:pPr>
      <w:r>
        <w:rPr>
          <w:sz w:val="22"/>
          <w:szCs w:val="22"/>
        </w:rPr>
        <w:t xml:space="preserve">(Convenios vigentes).- Quienes tengan convenios vigentes, podrán optar por mantenerlos o acogerse al presente régimen en la forma y condiciones que establezca la reglamentación. El cambio de régimen en ningún caso dará lugar a la devolución de lo abonado en exceso.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3yve5rovamqrlae_20mv">
        <w:r>
          <w:rPr>
            <w:rStyle w:val="Hyperlink"/>
            <w:rFonts w:ascii="Arial" w:cs="Arial" w:eastAsia="Arial" w:hAnsi="Arial"/>
            <w:sz w:val="17"/>
            <w:szCs w:val="17"/>
          </w:rPr>
          <w:t xml:space="preserve">Nº 370/002</w:t>
        </w:r>
      </w:hyperlink>
      <w:r>
        <w:rPr>
          <w:rFonts w:ascii="Arial" w:cs="Arial" w:eastAsia="Arial" w:hAnsi="Arial"/>
          <w:color w:val="555555"/>
          <w:sz w:val="17"/>
          <w:szCs w:val="17"/>
        </w:rPr>
        <w:t xml:space="preserve"> de 23/09/2002.</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Caducidad</w:t>
      </w:r>
    </w:p>
    <w:p>
      <w:pPr>
        <w:spacing w:after="120"/>
        <w:jc w:val="both"/>
      </w:pPr>
      <w:r>
        <w:rPr>
          <w:sz w:val="22"/>
          <w:szCs w:val="22"/>
        </w:rPr>
        <w:t xml:space="preserve">(Caducidad).- El no pago de tres cuotas consecutivas o de las obligaciones corrientes, determinará que el convenio quede sin efecto de pleno derecho. En tal caso se hará exigible la totalidad de lo adeudado originalmente.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8k-isdfcy6w4lwvzwttoz">
        <w:r>
          <w:rPr>
            <w:rStyle w:val="Hyperlink"/>
            <w:rFonts w:ascii="Arial" w:cs="Arial" w:eastAsia="Arial" w:hAnsi="Arial"/>
            <w:sz w:val="17"/>
            <w:szCs w:val="17"/>
          </w:rPr>
          <w:t xml:space="preserve">Nº 370/002</w:t>
        </w:r>
      </w:hyperlink>
      <w:r>
        <w:rPr>
          <w:rFonts w:ascii="Arial" w:cs="Arial" w:eastAsia="Arial" w:hAnsi="Arial"/>
          <w:color w:val="555555"/>
          <w:sz w:val="17"/>
          <w:szCs w:val="17"/>
        </w:rPr>
        <w:t xml:space="preserve"> de 23/09/2002.</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Acciones judiciales</w:t>
      </w:r>
    </w:p>
    <w:p>
      <w:pPr>
        <w:spacing w:after="120"/>
        <w:jc w:val="both"/>
      </w:pPr>
      <w:r>
        <w:rPr>
          <w:sz w:val="22"/>
          <w:szCs w:val="22"/>
        </w:rPr>
        <w:t xml:space="preserve">(Acciones judiciales).- Las acciones judiciales para el cobro de las obligaciones a que refieren los artículos 11 y 12, que se hubieran iniciado contra los sujetos pasivos acogidos al régimen de facilidades de pago de la presente ley, quedarán en suspenso mientras se mantenga la vigencia del convenio celebrado, permaneciendo mientras tanto vigentes las medidas cautelares en ellas decretadas sin perjuicio de las reinscripciones que correspondan.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lhxg54gyjiqsvf9omvecv">
        <w:r>
          <w:rPr>
            <w:rStyle w:val="Hyperlink"/>
            <w:rFonts w:ascii="Arial" w:cs="Arial" w:eastAsia="Arial" w:hAnsi="Arial"/>
            <w:sz w:val="17"/>
            <w:szCs w:val="17"/>
          </w:rPr>
          <w:t xml:space="preserve">Nº 370/002</w:t>
        </w:r>
      </w:hyperlink>
      <w:r>
        <w:rPr>
          <w:rFonts w:ascii="Arial" w:cs="Arial" w:eastAsia="Arial" w:hAnsi="Arial"/>
          <w:color w:val="555555"/>
          <w:sz w:val="17"/>
          <w:szCs w:val="17"/>
        </w:rPr>
        <w:t xml:space="preserve"> de 23/09/2002.</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Ventanilla única para trámites de inversores</w:t>
      </w:r>
    </w:p>
    <w:p>
      <w:pPr>
        <w:spacing w:after="120"/>
        <w:jc w:val="both"/>
      </w:pPr>
      <w:r>
        <w:rPr>
          <w:sz w:val="22"/>
          <w:szCs w:val="22"/>
        </w:rPr>
        <w:t xml:space="preserve">(Ventanilla única para trámites de inversores).- Cométese al Poder Ejecutivo el establecimiento de mecanismos que simplifiquen la tramitación de propuestas de inversión presentadas por el sector privado, incluyendo la creación de un único organismo que actúe como coordinador de las consultas y de los trámites que se deban cumplir ante cualquier oficina del Estado, propiciando la colaboración interinstitucional y la abreviación de los plazos y los procedimientos.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r8cfcdj1a9f-xyqv5mioq">
        <w:r>
          <w:rPr>
            <w:rStyle w:val="Hyperlink"/>
            <w:rFonts w:ascii="Arial" w:cs="Arial" w:eastAsia="Arial" w:hAnsi="Arial"/>
            <w:sz w:val="17"/>
            <w:szCs w:val="17"/>
          </w:rPr>
          <w:t xml:space="preserve">Nº 15/004</w:t>
        </w:r>
      </w:hyperlink>
      <w:r>
        <w:rPr>
          <w:rFonts w:ascii="Arial" w:cs="Arial" w:eastAsia="Arial" w:hAnsi="Arial"/>
          <w:color w:val="555555"/>
          <w:sz w:val="17"/>
          <w:szCs w:val="17"/>
        </w:rPr>
        <w:t xml:space="preserve"> de 20/01/2004,
 Decreto Nº 379/002 de 28/09/2002 artículos </w:t>
      </w:r>
      <w:hyperlink w:history="1" r:id="rId6f_pqqldhg-xmwh_ubcc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w:t>
      </w:r>
      <w:hyperlink w:history="1" r:id="rId6dd3y0syd6galunk7mqio">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w:t>
      </w:r>
      <w:hyperlink w:history="1" r:id="rIdj3rqsyifu9wlqycne9td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y </w:t>
      </w:r>
      <w:hyperlink w:history="1" r:id="rIdogeyqjb0uhfqdh62uw35z">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color w:val="555555"/>
          <w:sz w:val="22"/>
          <w:szCs w:val="22"/>
        </w:rPr>
        <w:t xml:space="preserve"> · Iniciativa</w:t>
      </w:r>
    </w:p>
    <w:p>
      <w:pPr>
        <w:spacing w:after="120"/>
        <w:jc w:val="both"/>
      </w:pPr>
      <w:r>
        <w:rPr>
          <w:sz w:val="22"/>
          <w:szCs w:val="22"/>
        </w:rPr>
        <w:t xml:space="preserve">(Iniciativa).- Facúltase al Estado, los Entes Autónomos, los Servicios Descentralizados y los Gobiernos Departamentales a recibir iniciativas relativas a actividades susceptibles de ser ejecutadas directamente por los organismos referidos o de ser concesionadas de acuerdo con las normas constitucionales y legales en vigencia, sea a impulso de parte o mediante invitación de oficio.</w:t>
      </w:r>
    </w:p>
    <w:p>
      <w:pPr>
        <w:spacing w:after="120"/>
        <w:jc w:val="both"/>
      </w:pPr>
      <w:r>
        <w:rPr>
          <w:sz w:val="22"/>
          <w:szCs w:val="22"/>
        </w:rPr>
        <w:t xml:space="preserve">A tal efecto, la reglamentación establecerá las condiciones y requisitos a ser cumplidos por la Administración y los particulares en relación con la presentación de iniciativas y otorgamiento de concesiones u otros mecanismos en virtud de dicho régimen.</w:t>
      </w:r>
    </w:p>
    <w:p>
      <w:pPr>
        <w:spacing w:after="120"/>
        <w:jc w:val="both"/>
      </w:pPr>
      <w:r>
        <w:rPr>
          <w:sz w:val="22"/>
          <w:szCs w:val="22"/>
        </w:rPr>
        <w:t xml:space="preserve">El procedimiento y los derechos de los promotores de la iniciativa se ajustarán a las siguientes bases:</w:t>
      </w:r>
    </w:p>
    <w:p>
      <w:pPr>
        <w:spacing w:after="120"/>
        <w:ind w:left="567"/>
        <w:jc w:val="both"/>
      </w:pPr>
      <w:r>
        <w:rPr>
          <w:sz w:val="22"/>
          <w:szCs w:val="22"/>
        </w:rPr>
        <w:t xml:space="preserve">A) En la fase de presentación de la iniciativa, el promotor asumirá los</w:t>
      </w:r>
    </w:p>
    <w:p>
      <w:pPr>
        <w:spacing w:after="120"/>
        <w:jc w:val="both"/>
      </w:pPr>
      <w:r>
        <w:rPr>
          <w:sz w:val="22"/>
          <w:szCs w:val="22"/>
        </w:rPr>
        <w:t xml:space="preserve">riesgos de su elaboración y no percibirá contraprestación alguna. La</w:t>
      </w:r>
    </w:p>
    <w:p>
      <w:pPr>
        <w:spacing w:after="120"/>
        <w:jc w:val="both"/>
      </w:pPr>
      <w:r>
        <w:rPr>
          <w:sz w:val="22"/>
          <w:szCs w:val="22"/>
        </w:rPr>
        <w:t xml:space="preserve">Administración dispondrá de un plazo máximo de 90 días para examinarla</w:t>
      </w:r>
    </w:p>
    <w:p>
      <w:pPr>
        <w:spacing w:after="120"/>
        <w:jc w:val="both"/>
      </w:pPr>
      <w:r>
        <w:rPr>
          <w:sz w:val="22"/>
          <w:szCs w:val="22"/>
        </w:rPr>
        <w:t xml:space="preserve">y mientras no la acepte, toda la información relativa a la iniciativa</w:t>
      </w:r>
    </w:p>
    <w:p>
      <w:pPr>
        <w:spacing w:after="120"/>
        <w:jc w:val="both"/>
      </w:pPr>
      <w:r>
        <w:rPr>
          <w:sz w:val="22"/>
          <w:szCs w:val="22"/>
        </w:rPr>
        <w:t xml:space="preserve">será confidencial.</w:t>
      </w:r>
    </w:p>
    <w:p>
      <w:pPr>
        <w:spacing w:after="120"/>
        <w:ind w:left="567"/>
        <w:jc w:val="both"/>
      </w:pPr>
      <w:r>
        <w:rPr>
          <w:sz w:val="22"/>
          <w:szCs w:val="22"/>
        </w:rPr>
        <w:t xml:space="preserve">B) En caso de ser aceptada la iniciativa por la Administración, ésta</w:t>
      </w:r>
    </w:p>
    <w:p>
      <w:pPr>
        <w:spacing w:after="120"/>
        <w:jc w:val="both"/>
      </w:pPr>
      <w:r>
        <w:rPr>
          <w:sz w:val="22"/>
          <w:szCs w:val="22"/>
        </w:rPr>
        <w:t xml:space="preserve">levantará la confidencialidad y requerirá los estudios de</w:t>
      </w:r>
    </w:p>
    <w:p>
      <w:pPr>
        <w:spacing w:after="120"/>
        <w:jc w:val="both"/>
      </w:pPr>
      <w:r>
        <w:rPr>
          <w:sz w:val="22"/>
          <w:szCs w:val="22"/>
        </w:rPr>
        <w:t xml:space="preserve">factibilidad, los que serán llevados a cabo por el promotor a su cargo</w:t>
      </w:r>
    </w:p>
    <w:p>
      <w:pPr>
        <w:spacing w:after="120"/>
        <w:jc w:val="both"/>
      </w:pPr>
      <w:r>
        <w:rPr>
          <w:sz w:val="22"/>
          <w:szCs w:val="22"/>
        </w:rPr>
        <w:t xml:space="preserve">y controlados en su calidad, costo y plenitud por la misma</w:t>
      </w:r>
    </w:p>
    <w:p>
      <w:pPr>
        <w:spacing w:after="120"/>
        <w:jc w:val="both"/>
      </w:pPr>
      <w:r>
        <w:rPr>
          <w:sz w:val="22"/>
          <w:szCs w:val="22"/>
        </w:rPr>
        <w:t xml:space="preserve">Administración. En caso de que por cualquier causa el promotor no</w:t>
      </w:r>
    </w:p>
    <w:p>
      <w:pPr>
        <w:spacing w:after="120"/>
        <w:jc w:val="both"/>
      </w:pPr>
      <w:r>
        <w:rPr>
          <w:sz w:val="22"/>
          <w:szCs w:val="22"/>
        </w:rPr>
        <w:t xml:space="preserve">realice los estudios de factibilidad, la Administración podrá</w:t>
      </w:r>
    </w:p>
    <w:p>
      <w:pPr>
        <w:spacing w:after="120"/>
        <w:jc w:val="both"/>
      </w:pPr>
      <w:r>
        <w:rPr>
          <w:sz w:val="22"/>
          <w:szCs w:val="22"/>
        </w:rPr>
        <w:t xml:space="preserve">realizarlos por sí o contratarlos conforme a los procedimientos de</w:t>
      </w:r>
    </w:p>
    <w:p>
      <w:pPr>
        <w:spacing w:after="120"/>
        <w:jc w:val="both"/>
      </w:pPr>
      <w:r>
        <w:rPr>
          <w:sz w:val="22"/>
          <w:szCs w:val="22"/>
        </w:rPr>
        <w:t xml:space="preserve">contratación que corresponda, perdiendo aquél todo derecho a recibir</w:t>
      </w:r>
    </w:p>
    <w:p>
      <w:pPr>
        <w:spacing w:after="120"/>
        <w:jc w:val="both"/>
      </w:pPr>
      <w:r>
        <w:rPr>
          <w:sz w:val="22"/>
          <w:szCs w:val="22"/>
        </w:rPr>
        <w:t xml:space="preserve">contraprestación o beneficio alguno.</w:t>
      </w:r>
    </w:p>
    <w:p>
      <w:pPr>
        <w:spacing w:after="120"/>
        <w:ind w:left="567"/>
        <w:jc w:val="both"/>
      </w:pPr>
      <w:r>
        <w:rPr>
          <w:sz w:val="22"/>
          <w:szCs w:val="22"/>
        </w:rPr>
        <w:t xml:space="preserve">C) Cumplida dicha etapa a satisfacción de la Administración, ésta</w:t>
      </w:r>
    </w:p>
    <w:p>
      <w:pPr>
        <w:spacing w:after="120"/>
        <w:jc w:val="both"/>
      </w:pPr>
      <w:r>
        <w:rPr>
          <w:sz w:val="22"/>
          <w:szCs w:val="22"/>
        </w:rPr>
        <w:t xml:space="preserve">dispondrá de un plazo máximo de 120 días, contado a partir de la</w:t>
      </w:r>
    </w:p>
    <w:p>
      <w:pPr>
        <w:spacing w:after="120"/>
        <w:jc w:val="both"/>
      </w:pPr>
      <w:r>
        <w:rPr>
          <w:sz w:val="22"/>
          <w:szCs w:val="22"/>
        </w:rPr>
        <w:t xml:space="preserve">conformidad prestada a los estudios de factibilidad, para convocar a</w:t>
      </w:r>
    </w:p>
    <w:p>
      <w:pPr>
        <w:spacing w:after="120"/>
        <w:jc w:val="both"/>
      </w:pPr>
      <w:r>
        <w:rPr>
          <w:sz w:val="22"/>
          <w:szCs w:val="22"/>
        </w:rPr>
        <w:t xml:space="preserve">audiencia pública, llamar a licitación o promover el procedimiento</w:t>
      </w:r>
    </w:p>
    <w:p>
      <w:pPr>
        <w:spacing w:after="120"/>
        <w:jc w:val="both"/>
      </w:pPr>
      <w:r>
        <w:rPr>
          <w:sz w:val="22"/>
          <w:szCs w:val="22"/>
        </w:rPr>
        <w:t xml:space="preserve">competitivo que se determine por razones de buena administración. Si</w:t>
      </w:r>
    </w:p>
    <w:p>
      <w:pPr>
        <w:spacing w:after="120"/>
        <w:jc w:val="both"/>
      </w:pPr>
      <w:r>
        <w:rPr>
          <w:sz w:val="22"/>
          <w:szCs w:val="22"/>
        </w:rPr>
        <w:t xml:space="preserve">no lo hiciera, el promotor de la iniciativa mantendrá todos los</w:t>
      </w:r>
    </w:p>
    <w:p>
      <w:pPr>
        <w:spacing w:after="120"/>
        <w:jc w:val="both"/>
      </w:pPr>
      <w:r>
        <w:rPr>
          <w:sz w:val="22"/>
          <w:szCs w:val="22"/>
        </w:rPr>
        <w:t xml:space="preserve">derechos sobre la misma por un período de dos años.</w:t>
      </w:r>
    </w:p>
    <w:p>
      <w:pPr>
        <w:spacing w:after="120"/>
        <w:ind w:left="567"/>
        <w:jc w:val="both"/>
      </w:pPr>
      <w:r>
        <w:rPr>
          <w:sz w:val="22"/>
          <w:szCs w:val="22"/>
        </w:rPr>
        <w:t xml:space="preserve">D) El procedimiento competitivo y el contrato respectivo podrá</w:t>
      </w:r>
    </w:p>
    <w:p>
      <w:pPr>
        <w:spacing w:after="120"/>
        <w:jc w:val="both"/>
      </w:pPr>
      <w:r>
        <w:rPr>
          <w:sz w:val="22"/>
          <w:szCs w:val="22"/>
        </w:rPr>
        <w:t xml:space="preserve">adjudicarse por subasta pública, cuando el proyecto generado por la</w:t>
      </w:r>
    </w:p>
    <w:p>
      <w:pPr>
        <w:spacing w:after="120"/>
        <w:jc w:val="both"/>
      </w:pPr>
      <w:r>
        <w:rPr>
          <w:sz w:val="22"/>
          <w:szCs w:val="22"/>
        </w:rPr>
        <w:t xml:space="preserve">iniciativa tenga un objeto preciso y concreto que permita determinar y</w:t>
      </w:r>
    </w:p>
    <w:p>
      <w:pPr>
        <w:spacing w:after="120"/>
        <w:jc w:val="both"/>
      </w:pPr>
      <w:r>
        <w:rPr>
          <w:sz w:val="22"/>
          <w:szCs w:val="22"/>
        </w:rPr>
        <w:t xml:space="preserve">uniformar, en forma previa, los requisitos básicos y esenciales que</w:t>
      </w:r>
    </w:p>
    <w:p>
      <w:pPr>
        <w:spacing w:after="120"/>
        <w:jc w:val="both"/>
      </w:pPr>
      <w:r>
        <w:rPr>
          <w:sz w:val="22"/>
          <w:szCs w:val="22"/>
        </w:rPr>
        <w:t xml:space="preserve">deberán acreditar y cumplir todos los eventuales oferentes.</w:t>
      </w:r>
    </w:p>
    <w:p>
      <w:pPr>
        <w:spacing w:after="120"/>
        <w:ind w:left="567"/>
        <w:jc w:val="both"/>
      </w:pPr>
      <w:r>
        <w:rPr>
          <w:sz w:val="22"/>
          <w:szCs w:val="22"/>
        </w:rPr>
        <w:t xml:space="preserve">E) Adoptada por la Administración la decisión de someter la iniciativa a</w:t>
      </w:r>
    </w:p>
    <w:p>
      <w:pPr>
        <w:spacing w:after="120"/>
        <w:jc w:val="both"/>
      </w:pPr>
      <w:r>
        <w:rPr>
          <w:sz w:val="22"/>
          <w:szCs w:val="22"/>
        </w:rPr>
        <w:t xml:space="preserve">cualquiera de los procedimientos competitivos señalados, la iniciativa</w:t>
      </w:r>
    </w:p>
    <w:p>
      <w:pPr>
        <w:spacing w:after="120"/>
        <w:jc w:val="both"/>
      </w:pPr>
      <w:r>
        <w:rPr>
          <w:sz w:val="22"/>
          <w:szCs w:val="22"/>
        </w:rPr>
        <w:t xml:space="preserve">quedará transferida de pleno derecho a la Administración.</w:t>
      </w:r>
    </w:p>
    <w:p>
      <w:pPr>
        <w:spacing w:after="120"/>
        <w:ind w:left="567"/>
        <w:jc w:val="both"/>
      </w:pPr>
      <w:r>
        <w:rPr>
          <w:sz w:val="22"/>
          <w:szCs w:val="22"/>
        </w:rPr>
        <w:t xml:space="preserve">F) Si el promotor se presentare al procedimiento competitivo solo o</w:t>
      </w:r>
    </w:p>
    <w:p>
      <w:pPr>
        <w:spacing w:after="120"/>
        <w:jc w:val="both"/>
      </w:pPr>
      <w:r>
        <w:rPr>
          <w:sz w:val="22"/>
          <w:szCs w:val="22"/>
        </w:rPr>
        <w:t xml:space="preserve">integrado a un consorcio o sociedad, tendrá como única compensación el</w:t>
      </w:r>
    </w:p>
    <w:p>
      <w:pPr>
        <w:spacing w:after="120"/>
        <w:jc w:val="both"/>
      </w:pPr>
      <w:r>
        <w:rPr>
          <w:sz w:val="22"/>
          <w:szCs w:val="22"/>
        </w:rPr>
        <w:t xml:space="preserve">derecho a beneficiarse con un porcentaje no menor al 5% (cinco por</w:t>
      </w:r>
    </w:p>
    <w:p>
      <w:pPr>
        <w:spacing w:after="120"/>
        <w:jc w:val="both"/>
      </w:pPr>
      <w:r>
        <w:rPr>
          <w:sz w:val="22"/>
          <w:szCs w:val="22"/>
        </w:rPr>
        <w:t xml:space="preserve">ciento) ni mayor al 20% (veinte por ciento) sobre el valor ofertado,</w:t>
      </w:r>
    </w:p>
    <w:p>
      <w:pPr>
        <w:spacing w:after="120"/>
        <w:jc w:val="both"/>
      </w:pPr>
      <w:r>
        <w:rPr>
          <w:sz w:val="22"/>
          <w:szCs w:val="22"/>
        </w:rPr>
        <w:t xml:space="preserve">que deberá ser precisado en el pliego de condiciones particulares de</w:t>
      </w:r>
    </w:p>
    <w:p>
      <w:pPr>
        <w:spacing w:after="120"/>
        <w:jc w:val="both"/>
      </w:pPr>
      <w:r>
        <w:rPr>
          <w:sz w:val="22"/>
          <w:szCs w:val="22"/>
        </w:rPr>
        <w:t xml:space="preserve">acuerdo con la complejidad de la iniciativa. Asimismo, el promotor de</w:t>
      </w:r>
    </w:p>
    <w:p>
      <w:pPr>
        <w:spacing w:after="120"/>
        <w:jc w:val="both"/>
      </w:pPr>
      <w:r>
        <w:rPr>
          <w:sz w:val="22"/>
          <w:szCs w:val="22"/>
        </w:rPr>
        <w:t xml:space="preserve">la iniciativa no deberá abonar los pliegos del procedimiento</w:t>
      </w:r>
    </w:p>
    <w:p>
      <w:pPr>
        <w:spacing w:after="120"/>
        <w:jc w:val="both"/>
      </w:pPr>
      <w:r>
        <w:rPr>
          <w:sz w:val="22"/>
          <w:szCs w:val="22"/>
        </w:rPr>
        <w:t xml:space="preserve">competitivo correspondiente. Si la oferta del promotor, considerando</w:t>
      </w:r>
    </w:p>
    <w:p>
      <w:pPr>
        <w:spacing w:after="120"/>
        <w:jc w:val="both"/>
      </w:pPr>
      <w:r>
        <w:rPr>
          <w:sz w:val="22"/>
          <w:szCs w:val="22"/>
        </w:rPr>
        <w:t xml:space="preserve">el beneficio respectivo, no resultara ganadora, el promotor podrá</w:t>
      </w:r>
    </w:p>
    <w:p>
      <w:pPr>
        <w:spacing w:after="120"/>
        <w:jc w:val="both"/>
      </w:pPr>
      <w:r>
        <w:rPr>
          <w:sz w:val="22"/>
          <w:szCs w:val="22"/>
        </w:rPr>
        <w:t xml:space="preserve">solicitar que se promueva un proceso de mejora de oferta en un plazo</w:t>
      </w:r>
    </w:p>
    <w:p>
      <w:pPr>
        <w:spacing w:after="120"/>
        <w:jc w:val="both"/>
      </w:pPr>
      <w:r>
        <w:rPr>
          <w:sz w:val="22"/>
          <w:szCs w:val="22"/>
        </w:rPr>
        <w:t xml:space="preserve">que no excederá el término original que se hubiere otorgado para el</w:t>
      </w:r>
    </w:p>
    <w:p>
      <w:pPr>
        <w:spacing w:after="120"/>
        <w:jc w:val="both"/>
      </w:pPr>
      <w:r>
        <w:rPr>
          <w:sz w:val="22"/>
          <w:szCs w:val="22"/>
        </w:rPr>
        <w:t xml:space="preserve">procedimiento competitivo previsto.</w:t>
      </w:r>
    </w:p>
    <w:p>
      <w:pPr>
        <w:spacing w:after="120"/>
        <w:ind w:left="567"/>
        <w:jc w:val="both"/>
      </w:pPr>
      <w:r>
        <w:rPr>
          <w:sz w:val="22"/>
          <w:szCs w:val="22"/>
        </w:rPr>
        <w:t xml:space="preserve">G) Si el promotor resolviese no presentarse al procedimiento competitivo,</w:t>
      </w:r>
    </w:p>
    <w:p>
      <w:pPr>
        <w:spacing w:after="120"/>
        <w:jc w:val="both"/>
      </w:pPr>
      <w:r>
        <w:rPr>
          <w:sz w:val="22"/>
          <w:szCs w:val="22"/>
        </w:rPr>
        <w:t xml:space="preserve">tendrá como única compensación el derecho al cobro de una compensación</w:t>
      </w:r>
    </w:p>
    <w:p>
      <w:pPr>
        <w:spacing w:after="120"/>
        <w:jc w:val="both"/>
      </w:pPr>
      <w:r>
        <w:rPr>
          <w:sz w:val="22"/>
          <w:szCs w:val="22"/>
        </w:rPr>
        <w:t xml:space="preserve">por única vez equivalente al costo efectivamente incurrido y</w:t>
      </w:r>
    </w:p>
    <w:p>
      <w:pPr>
        <w:spacing w:after="120"/>
        <w:jc w:val="both"/>
      </w:pPr>
      <w:r>
        <w:rPr>
          <w:sz w:val="22"/>
          <w:szCs w:val="22"/>
        </w:rPr>
        <w:t xml:space="preserve">comprobado en la etapa previa, conforme los criterios y máximos que</w:t>
      </w:r>
    </w:p>
    <w:p>
      <w:pPr>
        <w:spacing w:after="120"/>
        <w:jc w:val="both"/>
      </w:pPr>
      <w:r>
        <w:rPr>
          <w:sz w:val="22"/>
          <w:szCs w:val="22"/>
        </w:rPr>
        <w:t xml:space="preserve">establezca la reglamentación. La compensación referida será abonada</w:t>
      </w:r>
    </w:p>
    <w:p>
      <w:pPr>
        <w:spacing w:after="120"/>
        <w:jc w:val="both"/>
      </w:pPr>
      <w:r>
        <w:rPr>
          <w:sz w:val="22"/>
          <w:szCs w:val="22"/>
        </w:rPr>
        <w:t xml:space="preserve">por el adjudicatario en la forma que se establezca en el pliego de</w:t>
      </w:r>
    </w:p>
    <w:p>
      <w:pPr>
        <w:spacing w:after="120"/>
        <w:jc w:val="both"/>
      </w:pPr>
      <w:r>
        <w:rPr>
          <w:sz w:val="22"/>
          <w:szCs w:val="22"/>
        </w:rPr>
        <w:t xml:space="preserve">condiciones particulares. (*)</w:t>
      </w:r>
    </w:p>
    <w:p>
      <w:pPr>
        <w:spacing w:after="120"/>
        <w:ind w:left="567"/>
        <w:jc w:val="both"/>
      </w:pPr>
      <w:r>
        <w:rPr>
          <w:sz w:val="22"/>
          <w:szCs w:val="22"/>
        </w:rPr>
        <w:t xml:space="preserve">H) Los organismos referidos en el inciso primero del presente artículo,</w:t>
      </w:r>
    </w:p>
    <w:p>
      <w:pPr>
        <w:spacing w:after="120"/>
        <w:jc w:val="both"/>
      </w:pPr>
      <w:r>
        <w:rPr>
          <w:sz w:val="22"/>
          <w:szCs w:val="22"/>
        </w:rPr>
        <w:t xml:space="preserve">comunicarán a la Presidencia de la República, a efectos de su remisión</w:t>
      </w:r>
    </w:p>
    <w:p>
      <w:pPr>
        <w:spacing w:after="120"/>
        <w:jc w:val="both"/>
      </w:pPr>
      <w:r>
        <w:rPr>
          <w:sz w:val="22"/>
          <w:szCs w:val="22"/>
        </w:rPr>
        <w:t xml:space="preserve">a la Agencia de Evaluación y Monitoreo de Políticas Públicas creada</w:t>
      </w:r>
    </w:p>
    <w:p>
      <w:pPr>
        <w:spacing w:after="120"/>
        <w:jc w:val="both"/>
      </w:pPr>
      <w:r>
        <w:rPr>
          <w:sz w:val="22"/>
          <w:szCs w:val="22"/>
        </w:rPr>
        <w:t xml:space="preserve">por el artículo 305 de la Ley N° 19.889, de 9 de julio de 2020, la</w:t>
      </w:r>
    </w:p>
    <w:p>
      <w:pPr>
        <w:spacing w:after="120"/>
        <w:jc w:val="both"/>
      </w:pPr>
      <w:r>
        <w:rPr>
          <w:sz w:val="22"/>
          <w:szCs w:val="22"/>
        </w:rPr>
        <w:t xml:space="preserve">información referida al cumplimiento de las etapas definidas en los</w:t>
      </w:r>
    </w:p>
    <w:p>
      <w:pPr>
        <w:spacing w:after="120"/>
        <w:jc w:val="both"/>
      </w:pPr>
      <w:r>
        <w:rPr>
          <w:sz w:val="22"/>
          <w:szCs w:val="22"/>
        </w:rPr>
        <w:t xml:space="preserve">literales precedentes, en los plazos y modalidades que establezca la</w:t>
      </w:r>
    </w:p>
    <w:p>
      <w:pPr>
        <w:spacing w:after="120"/>
        <w:jc w:val="both"/>
      </w:pPr>
      <w:r>
        <w:rPr>
          <w:sz w:val="22"/>
          <w:szCs w:val="22"/>
        </w:rPr>
        <w:t xml:space="preserve">reglamentación.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H) ver vigencia: Ley Nº 19.996 de 03/11/2021 artículo </w:t>
      </w:r>
      <w:hyperlink w:history="1" r:id="rIdetoi5gaqomu0y7pxbishs">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H) agregado/s por: Ley Nº 19.996 de 03/11/2021 artículo </w:t>
      </w:r>
      <w:hyperlink w:history="1" r:id="rIdkbhdzds4h1_yhissu9djn">
        <w:r>
          <w:rPr>
            <w:rStyle w:val="Hyperlink"/>
            <w:rFonts w:ascii="Arial" w:cs="Arial" w:eastAsia="Arial" w:hAnsi="Arial"/>
            <w:sz w:val="17"/>
            <w:szCs w:val="17"/>
          </w:rPr>
          <w:t xml:space="preserve">365</w:t>
        </w:r>
      </w:hyperlink>
      <w:r>
        <w:rPr>
          <w:rFonts w:ascii="Arial" w:cs="Arial" w:eastAsia="Arial" w:hAnsi="Arial"/>
          <w:color w:val="555555"/>
          <w:sz w:val="17"/>
          <w:szCs w:val="17"/>
        </w:rPr>
        <w:t xml:space="preserve">.
Reglamentado por: Decreto </w:t>
      </w:r>
      <w:hyperlink w:history="1" r:id="rId2j-j4cmc2h5fyzfzksswb">
        <w:r>
          <w:rPr>
            <w:rStyle w:val="Hyperlink"/>
            <w:rFonts w:ascii="Arial" w:cs="Arial" w:eastAsia="Arial" w:hAnsi="Arial"/>
            <w:sz w:val="17"/>
            <w:szCs w:val="17"/>
          </w:rPr>
          <w:t xml:space="preserve">Nº 442/002</w:t>
        </w:r>
      </w:hyperlink>
      <w:r>
        <w:rPr>
          <w:rFonts w:ascii="Arial" w:cs="Arial" w:eastAsia="Arial" w:hAnsi="Arial"/>
          <w:color w:val="555555"/>
          <w:sz w:val="17"/>
          <w:szCs w:val="17"/>
        </w:rPr>
        <w:t xml:space="preserve"> de 28/09/2002.
Ver en esta norma, artículo: </w:t>
      </w:r>
      <w:hyperlink w:history="1" r:id="rIdlqo83wuf-sroinduezxwc">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En el caso en que la iniciativa refiera a un bien o servicio con destino turístico, la presentación de la misma se realizará ante el Ministerio de Turismo o el Gobierno Departamental que corresponda. El receptor deberá seguir el procedimiento previsto en el artículo 19 de la presente ley, en forma conjunta con el organismo o institución propietaria del bien.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psoqutbsoxjnh1bnb8-jc">
        <w:r>
          <w:rPr>
            <w:rStyle w:val="Hyperlink"/>
            <w:rFonts w:ascii="Arial" w:cs="Arial" w:eastAsia="Arial" w:hAnsi="Arial"/>
            <w:sz w:val="17"/>
            <w:szCs w:val="17"/>
          </w:rPr>
          <w:t xml:space="preserve">Nº 442/002</w:t>
        </w:r>
      </w:hyperlink>
      <w:r>
        <w:rPr>
          <w:rFonts w:ascii="Arial" w:cs="Arial" w:eastAsia="Arial" w:hAnsi="Arial"/>
          <w:color w:val="555555"/>
          <w:sz w:val="17"/>
          <w:szCs w:val="17"/>
        </w:rPr>
        <w:t xml:space="preserve"> de 28/09/2002.</w:t>
      </w:r>
    </w:p>
    <w:p>
      <w:pPr>
        <w:pStyle w:val="Articulo"/>
        <w:keepNext/>
        <w:spacing w:after="120" w:before="280"/>
      </w:pPr>
      <w:r>
        <w:rPr>
          <w:rFonts w:ascii="Arial" w:cs="Arial" w:eastAsia="Arial" w:hAnsi="Arial"/>
          <w:b/>
          <w:bCs/>
          <w:color w:val="14213D"/>
          <w:sz w:val="22"/>
          <w:szCs w:val="22"/>
        </w:rPr>
        <w:t xml:space="preserve">Artículo 21</w:t>
      </w:r>
      <w:r>
        <w:rPr>
          <w:rFonts w:ascii="Arial" w:cs="Arial" w:eastAsia="Arial" w:hAnsi="Arial"/>
          <w:color w:val="555555"/>
          <w:sz w:val="22"/>
          <w:szCs w:val="22"/>
        </w:rPr>
        <w:t xml:space="preserve"> · Aeropuerto Internacional de Carrasco</w:t>
      </w:r>
    </w:p>
    <w:p>
      <w:pPr>
        <w:spacing w:after="120"/>
        <w:jc w:val="both"/>
      </w:pPr>
      <w:r>
        <w:rPr>
          <w:sz w:val="22"/>
          <w:szCs w:val="22"/>
        </w:rPr>
        <w:t xml:space="preserve">(Aeropuerto Internacional de Carrasco).- Autorízase al Poder Ejecutivo a contratar directamente con la Corporación Nacional para el Desarrollo, en el ámbito de sus cometidos establecidos en el artículo 11 de la Ley Nº 15.785, de 4 de diciembre de 1985, para que ésta constituya una sociedad anónima abierta (artículo 247 de la Ley Nº 16.060, de 4 de setiembre de 1989), que tendrá como objeto realizar la administración, explotación y operación, construcción y mantenimiento del Aeropuerto Internacional de Carrasco "General Cesáreo L. Berisso", en lo que refiere a las actividades aeroportuarias y no aeroportuarias, incluyendo actividades comerciales -comprendiendo el régimen de tiendas de venta libre de impuestos (tax free shops)- y de servicios que complementen dicha actividad aeroportuaria, en un plazo que no superará los 30 (treinta) años.</w:t>
      </w:r>
    </w:p>
    <w:p>
      <w:pPr>
        <w:spacing w:after="120"/>
        <w:jc w:val="both"/>
      </w:pPr>
      <w:r>
        <w:rPr>
          <w:sz w:val="22"/>
          <w:szCs w:val="22"/>
        </w:rPr>
        <w:t xml:space="preserve">Quedan expresamente excluidos de esta autorización los servicios de tierra que se presten a las aeronaves y todos los servicios de seguridad, en especial aquéllos relativos a los controles aéreos, de aduana, migración, meteorología, bomberos, sanitarios y de policía en la actividad aeroportuaria.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ggo9bblv-dx4lqrnrdpnu">
        <w:r>
          <w:rPr>
            <w:rStyle w:val="Hyperlink"/>
            <w:rFonts w:ascii="Arial" w:cs="Arial" w:eastAsia="Arial" w:hAnsi="Arial"/>
            <w:sz w:val="17"/>
            <w:szCs w:val="17"/>
          </w:rPr>
          <w:t xml:space="preserve">Nº 376/002</w:t>
        </w:r>
      </w:hyperlink>
      <w:r>
        <w:rPr>
          <w:rFonts w:ascii="Arial" w:cs="Arial" w:eastAsia="Arial" w:hAnsi="Arial"/>
          <w:color w:val="555555"/>
          <w:sz w:val="17"/>
          <w:szCs w:val="17"/>
        </w:rPr>
        <w:t xml:space="preserve"> de 28/09/2002.
Ver en esta norma, artículos: </w:t>
      </w:r>
      <w:hyperlink w:history="1" r:id="rIdx282rhl33xizntohiawll">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y </w:t>
      </w:r>
      <w:hyperlink w:history="1" r:id="rIdd2dtvxirhhdjawnxzkw0z">
        <w:r>
          <w:rPr>
            <w:rStyle w:val="Hyperlink"/>
            <w:rFonts w:ascii="Arial" w:cs="Arial" w:eastAsia="Arial" w:hAnsi="Arial"/>
            <w:sz w:val="17"/>
            <w:szCs w:val="17"/>
          </w:rPr>
          <w:t xml:space="preserve">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La sociedad anónima que al efecto constituya la Corporación Nacional para el Desarrollo podrá subastar sus acciones, las que deberán ser nominativas, en la Bolsa de Valores, en los términos establecidos en la Ley Nº 16.749, de 30 de mayo de 1996, y normas reglamentarias.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m_-wl3l8oiqcd3glr4gen">
        <w:r>
          <w:rPr>
            <w:rStyle w:val="Hyperlink"/>
            <w:rFonts w:ascii="Arial" w:cs="Arial" w:eastAsia="Arial" w:hAnsi="Arial"/>
            <w:sz w:val="17"/>
            <w:szCs w:val="17"/>
          </w:rPr>
          <w:t xml:space="preserve">Nº 376/002</w:t>
        </w:r>
      </w:hyperlink>
      <w:r>
        <w:rPr>
          <w:rFonts w:ascii="Arial" w:cs="Arial" w:eastAsia="Arial" w:hAnsi="Arial"/>
          <w:color w:val="555555"/>
          <w:sz w:val="17"/>
          <w:szCs w:val="17"/>
        </w:rPr>
        <w:t xml:space="preserve"> de 28/09/2002.
Ver en esta norma, artículo: </w:t>
      </w:r>
      <w:hyperlink w:history="1" r:id="rIdpun0opiabcwemfczdbnlx">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Puerto Libre</w:t>
      </w:r>
    </w:p>
    <w:p>
      <w:pPr>
        <w:spacing w:after="120"/>
        <w:jc w:val="both"/>
      </w:pPr>
      <w:r>
        <w:rPr>
          <w:sz w:val="22"/>
          <w:szCs w:val="22"/>
        </w:rPr>
        <w:t xml:space="preserve">(Puerto Libre).- Declárase aplicable al Aeropuerto Internacional de Carrasco "General Cesáreo L. Berisso", en lo pertinente, el régimen de puerto libre establecido en los artículos 2º y 3º de la Ley Nº 16.246, de 8 de abril de 1992, debiendo la reglamentación establecer los límites territoriales respectivos.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mowu21anntx-ph7j_6mgi">
        <w:r>
          <w:rPr>
            <w:rStyle w:val="Hyperlink"/>
            <w:rFonts w:ascii="Arial" w:cs="Arial" w:eastAsia="Arial" w:hAnsi="Arial"/>
            <w:sz w:val="17"/>
            <w:szCs w:val="17"/>
          </w:rPr>
          <w:t xml:space="preserve">Nº 376/002</w:t>
        </w:r>
      </w:hyperlink>
      <w:r>
        <w:rPr>
          <w:rFonts w:ascii="Arial" w:cs="Arial" w:eastAsia="Arial" w:hAnsi="Arial"/>
          <w:color w:val="555555"/>
          <w:sz w:val="17"/>
          <w:szCs w:val="17"/>
        </w:rPr>
        <w:t xml:space="preserve"> de 28/09/2002.
Ver en esta norma, artículo: </w:t>
      </w:r>
      <w:hyperlink w:history="1" r:id="rIdvq_3o5-8qph_pkk3xdm_l">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Declárase de interés nacional la explotación comercial del Aeropuerto Internacional "Teniente 2do. Mario Walter Parallada" de Santa Bernardina, departamento de Durazno, como terminal de cargas y depósito de la misma, de acuerdo con lo dispuesto en los artículos 2º y 3º de la Ley Nº 16.246, de 8 de abril de 1992, debiendo la reglamentación establecer los límites territoriales respectivos.</w:t>
      </w:r>
    </w:p>
    <w:p>
      <w:pPr>
        <w:spacing w:after="120"/>
        <w:jc w:val="both"/>
      </w:pPr>
      <w:r>
        <w:rPr>
          <w:sz w:val="22"/>
          <w:szCs w:val="22"/>
        </w:rPr>
        <w:t xml:space="preserve">Facúltase al Poder Ejecutivo a utilizar para su adjudicación el procedimiento previsto en los artículos 21, 22 y 23 de la presente ley o cualquier otro legalmente procedente.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Nº 379/002 de 28/09/2002 artículo </w:t>
      </w:r>
      <w:hyperlink w:history="1" r:id="rIdlew1vhqy8usomcyryckxm">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Las sociedades comerciales respecto de las cuales un órgano del Estado, incluyendo Entes Autónomos, Servicios Descentralizados o Gobiernos Departamentales o cualquier persona pública no estatal, sea tenedor de acciones o sea titular de participaciones, cualquiera fuere el porcentaje de las mismas dentro del capital social, deberán inscribirse en el Registro de Valores del Banco Central del Uruguay, de acuerdo con lo dispuesto por los artículos 3º y 4º de la Ley Nº 16.749, de 30 de mayo de 1996.</w:t>
      </w:r>
    </w:p>
    <w:p>
      <w:pPr>
        <w:spacing w:after="120"/>
        <w:jc w:val="both"/>
      </w:pPr>
      <w:r>
        <w:rPr>
          <w:sz w:val="22"/>
          <w:szCs w:val="22"/>
        </w:rPr>
        <w:t xml:space="preserve">La información contable suministrada a ese Registro estará sujeta a las mismas condiciones de publicidad y requisitos de auditoría externa exigidos a los emisores de valores.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u2yq1ru-ldib7n3m1zyn">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y </w:t>
      </w:r>
      <w:hyperlink w:history="1" r:id="rId2octq4nwwi8cyloz2u4rp">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Los órganos estatales o paraestatales referidos en el artículo anterior deberán disponer la publicación completa de los estados contables auditados en el Diario Oficial y deberán disponer su inclusión en sus respectivas páginas "web" en Internet si éstas se hallaren en condiciones operativas. En ambos casos se incluirá una nota que deberá hacer referencia al porcentaje del capital social que pertenece al respectivo órgano estatal o paraestatal. El Tribunal de Cuentas controlará el cumplimiento de lo dispuesto en este artículo, dando cuenta a la Asamblea General.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9y3gdbpxrfsvbnpjjk-v">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Si los órganos estatales o paraestatales referidos en el artículo 25 de esta ley fueren tenedores de acciones o titulares de participaciones en personas jurídicas constituidas en el extranjero, que no actúen en el país por intermedio de sucursal, filial, agencia, establecimiento o representación permanente, deberán presentar al Poder Ejecutivo, con dictamen previo del Tribunal de Cuentas, los estados contables e informes de sindicatura de la persona jurídica del exterior, certificados, traducidos y legalizados en el país de origen, con informes de auditor independiente y del órgano de dirección del organismo estatal o paraestatal, dentro del plazo de 120 días del cierre del ejercicio económico de la persona jurídica del exterior, sin perjuicio de la aplicación de lo dispuesto por el artículo 26 de esta ley.</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Megaconcesión</w:t>
      </w:r>
    </w:p>
    <w:p>
      <w:pPr>
        <w:spacing w:after="120"/>
        <w:jc w:val="both"/>
      </w:pPr>
      <w:r>
        <w:rPr>
          <w:sz w:val="22"/>
          <w:szCs w:val="22"/>
        </w:rPr>
        <w:t xml:space="preserve">(Megaconcesión).- Autorízase a la Corporación Nacional para el Desarrollo a ceder totalmente el contrato de concesión o a enajenar, a empresas radicadas en el país, o a organismos internacionales de crédito de los que la República forma parte, hasta el 100% (cien por ciento) del capital accionario de la sociedad anónima formada por aquélla para actuar como concesionaria de la llamada "Megaconcesión", de acuerdo al Convenio Contrato suscrito con el Ministerio de Transporte y Obras Públicas el 5 de octubre de 2001, aprobado por el Poder Ejecutivo el 20 de diciembre de 2001, en las condiciones que se indican en los artículos siguientes.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r5v-jc9w9k1hxc3dmennm">
        <w:r>
          <w:rPr>
            <w:rStyle w:val="Hyperlink"/>
            <w:rFonts w:ascii="Arial" w:cs="Arial" w:eastAsia="Arial" w:hAnsi="Arial"/>
            <w:sz w:val="17"/>
            <w:szCs w:val="17"/>
          </w:rPr>
          <w:t xml:space="preserve">Nº 383/002</w:t>
        </w:r>
      </w:hyperlink>
      <w:r>
        <w:rPr>
          <w:rFonts w:ascii="Arial" w:cs="Arial" w:eastAsia="Arial" w:hAnsi="Arial"/>
          <w:color w:val="555555"/>
          <w:sz w:val="17"/>
          <w:szCs w:val="17"/>
        </w:rPr>
        <w:t xml:space="preserve"> de 02/10/2002.
Ver en esta norma, artículos: </w:t>
      </w:r>
      <w:hyperlink w:history="1" r:id="rIdq6rls4dwleos42kglomv0">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w:t>
      </w:r>
      <w:hyperlink w:history="1" r:id="rIdrha2vroowukhhk3p73xdf">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 y </w:t>
      </w:r>
      <w:hyperlink w:history="1" r:id="rIdyornuolw2-2w81i0rirlw">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En el caso de cesión de la concesión a otra firma será necesario:</w:t>
      </w:r>
    </w:p>
    <w:p>
      <w:pPr>
        <w:spacing w:after="120"/>
        <w:ind w:left="567"/>
        <w:jc w:val="both"/>
      </w:pPr>
      <w:r>
        <w:rPr>
          <w:sz w:val="22"/>
          <w:szCs w:val="22"/>
        </w:rPr>
        <w:t xml:space="preserve">A) El previo consentimiento del concedente, el que sólo podrá darse si el</w:t>
      </w:r>
    </w:p>
    <w:p>
      <w:pPr>
        <w:spacing w:after="120"/>
        <w:jc w:val="both"/>
      </w:pPr>
      <w:r>
        <w:rPr>
          <w:sz w:val="22"/>
          <w:szCs w:val="22"/>
        </w:rPr>
        <w:t xml:space="preserve">nuevo concesionario ofrece seguridades y garantías no inferiores a las</w:t>
      </w:r>
    </w:p>
    <w:p>
      <w:pPr>
        <w:spacing w:after="120"/>
        <w:jc w:val="both"/>
      </w:pPr>
      <w:r>
        <w:rPr>
          <w:sz w:val="22"/>
          <w:szCs w:val="22"/>
        </w:rPr>
        <w:t xml:space="preserve">que se requieren en las concesiones de obra pública adjudicadas por el</w:t>
      </w:r>
    </w:p>
    <w:p>
      <w:pPr>
        <w:spacing w:after="120"/>
        <w:jc w:val="both"/>
      </w:pPr>
      <w:r>
        <w:rPr>
          <w:sz w:val="22"/>
          <w:szCs w:val="22"/>
        </w:rPr>
        <w:t xml:space="preserve">Poder Ejecutivo a privados por intermedio del Ministerio de Transporte</w:t>
      </w:r>
    </w:p>
    <w:p>
      <w:pPr>
        <w:spacing w:after="120"/>
        <w:jc w:val="both"/>
      </w:pPr>
      <w:r>
        <w:rPr>
          <w:sz w:val="22"/>
          <w:szCs w:val="22"/>
        </w:rPr>
        <w:t xml:space="preserve">y Obras Públicas.</w:t>
      </w:r>
    </w:p>
    <w:p>
      <w:pPr>
        <w:spacing w:after="120"/>
        <w:ind w:left="567"/>
        <w:jc w:val="both"/>
      </w:pPr>
      <w:r>
        <w:rPr>
          <w:sz w:val="22"/>
          <w:szCs w:val="22"/>
        </w:rPr>
        <w:t xml:space="preserve">B) El concesionario deberá constituir una sociedad anónima cuyas acciones</w:t>
      </w:r>
    </w:p>
    <w:p>
      <w:pPr>
        <w:spacing w:after="120"/>
        <w:jc w:val="both"/>
      </w:pPr>
      <w:r>
        <w:rPr>
          <w:sz w:val="22"/>
          <w:szCs w:val="22"/>
        </w:rPr>
        <w:t xml:space="preserve">serán nominativas y cuyo único objeto será la construcción,</w:t>
      </w:r>
    </w:p>
    <w:p>
      <w:pPr>
        <w:spacing w:after="120"/>
        <w:jc w:val="both"/>
      </w:pPr>
      <w:r>
        <w:rPr>
          <w:sz w:val="22"/>
          <w:szCs w:val="22"/>
        </w:rPr>
        <w:t xml:space="preserve">mantenimiento, explotación y administración de la concesión.</w:t>
      </w:r>
    </w:p>
    <w:p>
      <w:pPr>
        <w:spacing w:after="120"/>
        <w:ind w:left="567"/>
        <w:jc w:val="both"/>
      </w:pPr>
      <w:r>
        <w:rPr>
          <w:sz w:val="22"/>
          <w:szCs w:val="22"/>
        </w:rPr>
        <w:t xml:space="preserve">C) La cesión de la concesión o la enajenación del capital accionario no</w:t>
      </w:r>
    </w:p>
    <w:p>
      <w:pPr>
        <w:spacing w:after="120"/>
        <w:jc w:val="both"/>
      </w:pPr>
      <w:r>
        <w:rPr>
          <w:sz w:val="22"/>
          <w:szCs w:val="22"/>
        </w:rPr>
        <w:t xml:space="preserve">habilitará la modificación de las obligaciones asumidas en el contrato</w:t>
      </w:r>
    </w:p>
    <w:p>
      <w:pPr>
        <w:spacing w:after="120"/>
        <w:jc w:val="both"/>
      </w:pPr>
      <w:r>
        <w:rPr>
          <w:sz w:val="22"/>
          <w:szCs w:val="22"/>
        </w:rPr>
        <w:t xml:space="preserve">de concesión celebrado salvo lo dispuesto en el literal A) en materia</w:t>
      </w:r>
    </w:p>
    <w:p>
      <w:pPr>
        <w:spacing w:after="120"/>
        <w:jc w:val="both"/>
      </w:pPr>
      <w:r>
        <w:rPr>
          <w:sz w:val="22"/>
          <w:szCs w:val="22"/>
        </w:rPr>
        <w:t xml:space="preserve">de seguridades y garantías.</w:t>
      </w:r>
    </w:p>
    <w:p>
      <w:pPr>
        <w:spacing w:after="120"/>
        <w:ind w:left="567"/>
        <w:jc w:val="both"/>
      </w:pPr>
      <w:r>
        <w:rPr>
          <w:sz w:val="22"/>
          <w:szCs w:val="22"/>
        </w:rPr>
        <w:t xml:space="preserve">D) El cesionario deberá asumir las deudas contraídas a la fecha de la</w:t>
      </w:r>
    </w:p>
    <w:p>
      <w:pPr>
        <w:spacing w:after="120"/>
        <w:jc w:val="both"/>
      </w:pPr>
      <w:r>
        <w:rPr>
          <w:sz w:val="22"/>
          <w:szCs w:val="22"/>
        </w:rPr>
        <w:t xml:space="preserve">cesión por el cedente -sociedad formada por la Corporación Nacional</w:t>
      </w:r>
    </w:p>
    <w:p>
      <w:pPr>
        <w:spacing w:after="120"/>
        <w:jc w:val="both"/>
      </w:pPr>
      <w:r>
        <w:rPr>
          <w:sz w:val="22"/>
          <w:szCs w:val="22"/>
        </w:rPr>
        <w:t xml:space="preserve">para el Desarrollo- para el cumplimiento de los objetivos del Contrato</w:t>
      </w:r>
    </w:p>
    <w:p>
      <w:pPr>
        <w:spacing w:after="120"/>
        <w:jc w:val="both"/>
      </w:pPr>
      <w:r>
        <w:rPr>
          <w:sz w:val="22"/>
          <w:szCs w:val="22"/>
        </w:rPr>
        <w:t xml:space="preserve">mencionado en el artículo 28.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o-whgmjx9f1kjzyipvkul">
        <w:r>
          <w:rPr>
            <w:rStyle w:val="Hyperlink"/>
            <w:rFonts w:ascii="Arial" w:cs="Arial" w:eastAsia="Arial" w:hAnsi="Arial"/>
            <w:sz w:val="17"/>
            <w:szCs w:val="17"/>
          </w:rPr>
          <w:t xml:space="preserve">Nº 383/002</w:t>
        </w:r>
      </w:hyperlink>
      <w:r>
        <w:rPr>
          <w:rFonts w:ascii="Arial" w:cs="Arial" w:eastAsia="Arial" w:hAnsi="Arial"/>
          <w:color w:val="555555"/>
          <w:sz w:val="17"/>
          <w:szCs w:val="17"/>
        </w:rPr>
        <w:t xml:space="preserve"> de 02/10/2002.
Ver en esta norma, artículo: </w:t>
      </w:r>
      <w:hyperlink w:history="1" r:id="rIds0hwotxzhgyagbham2dbv">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En el caso de venta de acciones de la sociedad anónima concesionaria la reglamentación que dicte el Poder Ejecutivo en acuerdo con los Ministerios de Economía y Finanzas y de Transporte y Obras Públicas establecerá los términos, plazos y demás condiciones en que se concretará la enajenación mediante oferta pública, en los términos establecidos por la Ley Nº 16.749, de 30 de mayo de 1996, y normas reglamentarias.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epo3hum33vkuzbwjczd7b">
        <w:r>
          <w:rPr>
            <w:rStyle w:val="Hyperlink"/>
            <w:rFonts w:ascii="Arial" w:cs="Arial" w:eastAsia="Arial" w:hAnsi="Arial"/>
            <w:sz w:val="17"/>
            <w:szCs w:val="17"/>
          </w:rPr>
          <w:t xml:space="preserve">Nº 383/002</w:t>
        </w:r>
      </w:hyperlink>
      <w:r>
        <w:rPr>
          <w:rFonts w:ascii="Arial" w:cs="Arial" w:eastAsia="Arial" w:hAnsi="Arial"/>
          <w:color w:val="555555"/>
          <w:sz w:val="17"/>
          <w:szCs w:val="17"/>
        </w:rPr>
        <w:t xml:space="preserve"> de 02/10/2002.
Ver en esta norma, artículo: </w:t>
      </w:r>
      <w:hyperlink w:history="1" r:id="rIdffp-4xwtbxtuppxip9smk">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El cumplimiento de los requisitos establecidos será verificado permanentemente por la Auditoría Interna de la Nación o por el Ministerio de Transporte y Obras Públicas según corresponda.</w:t>
      </w:r>
    </w:p>
    <w:p>
      <w:pPr>
        <w:spacing w:after="120"/>
        <w:jc w:val="both"/>
      </w:pPr>
      <w:r>
        <w:rPr>
          <w:sz w:val="22"/>
          <w:szCs w:val="22"/>
        </w:rPr>
        <w:t xml:space="preserve">Sin perjuicio de lo establecido en el inciso anterior, el Poder Ejecutivo remitirá trimestralmente a la Asamblea General y ésta a ambas Cámaras o durante el receso a la Comisión Permanente, un informe pormenorizado sobre el cumplimiento de todos los requisitos establecidos en los artículos 29 y 30 de la presente ley, con su opinión expresa sobre la forma como se cumple con la concesión y como se ejercen los correspondientes controles.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gvlx8f-fzvlrjvi7b1vy1">
        <w:r>
          <w:rPr>
            <w:rStyle w:val="Hyperlink"/>
            <w:rFonts w:ascii="Arial" w:cs="Arial" w:eastAsia="Arial" w:hAnsi="Arial"/>
            <w:sz w:val="17"/>
            <w:szCs w:val="17"/>
          </w:rPr>
          <w:t xml:space="preserve">Nº 383/002</w:t>
        </w:r>
      </w:hyperlink>
      <w:r>
        <w:rPr>
          <w:rFonts w:ascii="Arial" w:cs="Arial" w:eastAsia="Arial" w:hAnsi="Arial"/>
          <w:color w:val="555555"/>
          <w:sz w:val="17"/>
          <w:szCs w:val="17"/>
        </w:rPr>
        <w:t xml:space="preserve"> de 02/10/2002.</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El producto de la cesión o venta autorizadas en el artículo 28 quedará afectado y se destinará por la Corporación Nacional para el Desarrollo a invertir en proyectos de infraestructura del Ministerio de Transporte y Obras Públicas, a cuyos efectos se mantendrá disponible.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m9pe5or1updb27libu9cy">
        <w:r>
          <w:rPr>
            <w:rStyle w:val="Hyperlink"/>
            <w:rFonts w:ascii="Arial" w:cs="Arial" w:eastAsia="Arial" w:hAnsi="Arial"/>
            <w:sz w:val="17"/>
            <w:szCs w:val="17"/>
          </w:rPr>
          <w:t xml:space="preserve">Nº 383/002</w:t>
        </w:r>
      </w:hyperlink>
      <w:r>
        <w:rPr>
          <w:rFonts w:ascii="Arial" w:cs="Arial" w:eastAsia="Arial" w:hAnsi="Arial"/>
          <w:color w:val="555555"/>
          <w:sz w:val="17"/>
          <w:szCs w:val="17"/>
        </w:rPr>
        <w:t xml:space="preserve"> de 02/10/2002.</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La intervención del Ministerio de Transporte y Obras Públicas, una vez efectuada la cesión del contrato de concesión o la enajenación del capital accionario de la sociedad anónima mencionada en el artículo 28, será la que corresponde al concedente, según la normativa de la materia y el contrato de concesión.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zsc87eps3b9g9vqdmfnci">
        <w:r>
          <w:rPr>
            <w:rStyle w:val="Hyperlink"/>
            <w:rFonts w:ascii="Arial" w:cs="Arial" w:eastAsia="Arial" w:hAnsi="Arial"/>
            <w:sz w:val="17"/>
            <w:szCs w:val="17"/>
          </w:rPr>
          <w:t xml:space="preserve">Nº 383/002</w:t>
        </w:r>
      </w:hyperlink>
      <w:r>
        <w:rPr>
          <w:rFonts w:ascii="Arial" w:cs="Arial" w:eastAsia="Arial" w:hAnsi="Arial"/>
          <w:color w:val="555555"/>
          <w:sz w:val="17"/>
          <w:szCs w:val="17"/>
        </w:rPr>
        <w:t xml:space="preserve"> de 02/10/2002.</w:t>
      </w:r>
    </w:p>
    <w:p>
      <w:pPr>
        <w:pStyle w:val="Articulo"/>
        <w:keepNext/>
        <w:spacing w:after="120" w:before="280"/>
      </w:pPr>
      <w:r>
        <w:rPr>
          <w:rFonts w:ascii="Arial" w:cs="Arial" w:eastAsia="Arial" w:hAnsi="Arial"/>
          <w:b/>
          <w:bCs/>
          <w:color w:val="14213D"/>
          <w:sz w:val="22"/>
          <w:szCs w:val="22"/>
        </w:rPr>
        <w:t xml:space="preserve">Artículo 34</w:t>
      </w:r>
      <w:r>
        <w:rPr>
          <w:rFonts w:ascii="Arial" w:cs="Arial" w:eastAsia="Arial" w:hAnsi="Arial"/>
          <w:color w:val="555555"/>
          <w:sz w:val="22"/>
          <w:szCs w:val="22"/>
        </w:rPr>
        <w:t xml:space="preserve"> · Concesión de depósitos de arenas negras</w:t>
      </w:r>
    </w:p>
    <w:p>
      <w:pPr>
        <w:spacing w:after="120"/>
        <w:jc w:val="both"/>
      </w:pPr>
      <w:r>
        <w:rPr>
          <w:sz w:val="22"/>
          <w:szCs w:val="22"/>
        </w:rPr>
        <w:t xml:space="preserve">(Concesión de depósitos de arenas negras).- La Corporación Nacional para el Desarrollo constituirá una sociedad anónima abierta (artículo 247 de la Ley Nº 16.060, de 4 de setiembre de 1989), previa la autorización y la contratación que deberá realizar con el Poder Ejecutivo (artículo 11 de la Ley Nº 15.785, de 4 de diciembre de 1985), que tendrá como objeto la prospección, exploración y explotación de los depósitos de arenas negras que se puedan desarrollar en el área de Reserva Minera establecida en el Decreto Nº 183/002, de 23 de mayo de 2002, por un plazo de hasta 29 (veintinueve) años.</w:t>
      </w:r>
    </w:p>
    <w:p>
      <w:pPr>
        <w:spacing w:after="120"/>
        <w:jc w:val="both"/>
      </w:pPr>
      <w:r>
        <w:rPr>
          <w:sz w:val="22"/>
          <w:szCs w:val="22"/>
        </w:rPr>
        <w:t xml:space="preserve">La reglamentación establecerá la forma de constitución de la sociedad referida, las condiciones que deberán reunir sus integrantes y los demás aspectos que correspondan.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ixke0iun9vxznw3gozz1g">
        <w:r>
          <w:rPr>
            <w:rStyle w:val="Hyperlink"/>
            <w:rFonts w:ascii="Arial" w:cs="Arial" w:eastAsia="Arial" w:hAnsi="Arial"/>
            <w:sz w:val="17"/>
            <w:szCs w:val="17"/>
          </w:rPr>
          <w:t xml:space="preserve">Nº 457/002</w:t>
        </w:r>
      </w:hyperlink>
      <w:r>
        <w:rPr>
          <w:rFonts w:ascii="Arial" w:cs="Arial" w:eastAsia="Arial" w:hAnsi="Arial"/>
          <w:color w:val="555555"/>
          <w:sz w:val="17"/>
          <w:szCs w:val="17"/>
        </w:rPr>
        <w:t xml:space="preserve"> de 21/11/2002.
Ver en esta norma, artículo: </w:t>
      </w:r>
      <w:hyperlink w:history="1" r:id="rId1oxfj0w1lu_nk9ztbnf-d">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La sociedad anónima referida al artículo anterior, que al efecto constituya la Corporación Nacional para el Desarrollo podrá subastar sus acciones en la Bolsa de Valores, en los términos establecidos en la Ley Nº 16.749, de 30 de mayo de 1996, y normas reglamentarias.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nrq54mii4ojdoeqwgitw7">
        <w:r>
          <w:rPr>
            <w:rStyle w:val="Hyperlink"/>
            <w:rFonts w:ascii="Arial" w:cs="Arial" w:eastAsia="Arial" w:hAnsi="Arial"/>
            <w:sz w:val="17"/>
            <w:szCs w:val="17"/>
          </w:rPr>
          <w:t xml:space="preserve">Nº 457/002</w:t>
        </w:r>
      </w:hyperlink>
      <w:r>
        <w:rPr>
          <w:rFonts w:ascii="Arial" w:cs="Arial" w:eastAsia="Arial" w:hAnsi="Arial"/>
          <w:color w:val="555555"/>
          <w:sz w:val="17"/>
          <w:szCs w:val="17"/>
        </w:rPr>
        <w:t xml:space="preserve"> de 21/11/2002.</w:t>
      </w:r>
    </w:p>
    <w:p>
      <w:pPr>
        <w:pStyle w:val="Articulo"/>
        <w:keepNext/>
        <w:spacing w:after="120" w:before="280"/>
      </w:pPr>
      <w:r>
        <w:rPr>
          <w:rFonts w:ascii="Arial" w:cs="Arial" w:eastAsia="Arial" w:hAnsi="Arial"/>
          <w:b/>
          <w:bCs/>
          <w:color w:val="14213D"/>
          <w:sz w:val="22"/>
          <w:szCs w:val="22"/>
        </w:rPr>
        <w:t xml:space="preserve">Artículo 36</w:t>
      </w:r>
      <w:r>
        <w:rPr>
          <w:rFonts w:ascii="Arial" w:cs="Arial" w:eastAsia="Arial" w:hAnsi="Arial"/>
          <w:color w:val="555555"/>
          <w:sz w:val="22"/>
          <w:szCs w:val="22"/>
        </w:rPr>
        <w:t xml:space="preserve"> · Declaración de interés nacional de zonas turísticas</w:t>
      </w:r>
    </w:p>
    <w:p>
      <w:pPr>
        <w:spacing w:after="120"/>
        <w:jc w:val="both"/>
      </w:pPr>
      <w:r>
        <w:rPr>
          <w:sz w:val="22"/>
          <w:szCs w:val="22"/>
        </w:rPr>
        <w:t xml:space="preserve">(Declaración de interés nacional de zonas turísticas).- Decláranse de interés nacional, conforme a lo dispuesto por el ordinal 9º) del artículo 85 de la Constitución de la República, las siguientes zonas turísticas:</w:t>
      </w:r>
    </w:p>
    <w:p>
      <w:pPr>
        <w:spacing w:after="120"/>
        <w:ind w:left="567"/>
        <w:jc w:val="both"/>
      </w:pPr>
      <w:r>
        <w:rPr>
          <w:sz w:val="22"/>
          <w:szCs w:val="22"/>
        </w:rPr>
        <w:t xml:space="preserve">A) Costa sobre el océano Atlántico, desde el balneario La Coronilla al</w:t>
      </w:r>
    </w:p>
    <w:p>
      <w:pPr>
        <w:spacing w:after="120"/>
        <w:jc w:val="both"/>
      </w:pPr>
      <w:r>
        <w:rPr>
          <w:sz w:val="22"/>
          <w:szCs w:val="22"/>
        </w:rPr>
        <w:t xml:space="preserve">balneario Punta del Diablo, departamento de Rocha, comprendida en una</w:t>
      </w:r>
    </w:p>
    <w:p>
      <w:pPr>
        <w:spacing w:after="120"/>
        <w:jc w:val="both"/>
      </w:pPr>
      <w:r>
        <w:rPr>
          <w:sz w:val="22"/>
          <w:szCs w:val="22"/>
        </w:rPr>
        <w:t xml:space="preserve">franja de treinta kilómetros a partir de la costa mencionada,</w:t>
      </w:r>
    </w:p>
    <w:p>
      <w:pPr>
        <w:spacing w:after="120"/>
        <w:jc w:val="both"/>
      </w:pPr>
      <w:r>
        <w:rPr>
          <w:sz w:val="22"/>
          <w:szCs w:val="22"/>
        </w:rPr>
        <w:t xml:space="preserve">incluyendo la zona del Parque Santa Teresa.</w:t>
      </w:r>
    </w:p>
    <w:p>
      <w:pPr>
        <w:spacing w:after="120"/>
        <w:ind w:left="567"/>
        <w:jc w:val="both"/>
      </w:pPr>
      <w:r>
        <w:rPr>
          <w:sz w:val="22"/>
          <w:szCs w:val="22"/>
        </w:rPr>
        <w:t xml:space="preserve">B) Area aledaña a la Central Hidroeléctrica Constitución (Palmar),</w:t>
      </w:r>
    </w:p>
    <w:p>
      <w:pPr>
        <w:spacing w:after="120"/>
        <w:jc w:val="both"/>
      </w:pPr>
      <w:r>
        <w:rPr>
          <w:sz w:val="22"/>
          <w:szCs w:val="22"/>
        </w:rPr>
        <w:t xml:space="preserve">departamento de Soriano.</w:t>
      </w:r>
    </w:p>
    <w:p>
      <w:pPr>
        <w:spacing w:after="120"/>
        <w:ind w:left="567"/>
        <w:jc w:val="both"/>
      </w:pPr>
      <w:r>
        <w:rPr>
          <w:sz w:val="22"/>
          <w:szCs w:val="22"/>
        </w:rPr>
        <w:t xml:space="preserve">C) Zona de Rincón del Bonete aledaña a la Central Hidroeléctrica "Dr.</w:t>
      </w:r>
    </w:p>
    <w:p>
      <w:pPr>
        <w:spacing w:after="120"/>
        <w:jc w:val="both"/>
      </w:pPr>
      <w:r>
        <w:rPr>
          <w:sz w:val="22"/>
          <w:szCs w:val="22"/>
        </w:rPr>
        <w:t xml:space="preserve">Gabriel Terra" en el departamento de Tacuarembó.</w:t>
      </w:r>
    </w:p>
    <w:p>
      <w:pPr>
        <w:spacing w:after="120"/>
        <w:ind w:left="567"/>
        <w:jc w:val="both"/>
      </w:pPr>
      <w:r>
        <w:rPr>
          <w:sz w:val="22"/>
          <w:szCs w:val="22"/>
        </w:rPr>
        <w:t xml:space="preserve">D) Represa de Cuñapirú en el departamento de Rivera.</w:t>
      </w:r>
    </w:p>
    <w:p>
      <w:pPr>
        <w:spacing w:after="120"/>
        <w:ind w:left="567"/>
        <w:jc w:val="both"/>
      </w:pPr>
      <w:r>
        <w:rPr>
          <w:sz w:val="22"/>
          <w:szCs w:val="22"/>
        </w:rPr>
        <w:t xml:space="preserve">E) Parque "Bartolomé Hidalgo" en el departamento de Soriano.</w:t>
      </w:r>
    </w:p>
    <w:p>
      <w:pPr>
        <w:spacing w:after="120"/>
        <w:ind w:left="567"/>
        <w:jc w:val="both"/>
      </w:pPr>
      <w:r>
        <w:rPr>
          <w:sz w:val="22"/>
          <w:szCs w:val="22"/>
        </w:rPr>
        <w:t xml:space="preserve">F) Area aledaña a la Central Hidroeléctrica de Baygorria en los</w:t>
      </w:r>
    </w:p>
    <w:p>
      <w:pPr>
        <w:spacing w:after="120"/>
        <w:jc w:val="both"/>
      </w:pPr>
      <w:r>
        <w:rPr>
          <w:sz w:val="22"/>
          <w:szCs w:val="22"/>
        </w:rPr>
        <w:t xml:space="preserve">departamentos de Durazno y Río Negro.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q_4-hoxmss7lwgsktuyg">
        <w:r>
          <w:rPr>
            <w:rStyle w:val="Hyperlink"/>
            <w:rFonts w:ascii="Arial" w:cs="Arial" w:eastAsia="Arial" w:hAnsi="Arial"/>
            <w:sz w:val="17"/>
            <w:szCs w:val="17"/>
          </w:rPr>
          <w:t xml:space="preserve">37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Para la explotación de las zonas turísticas declaradas de interés nacional en el artículo precedente, se comete al Ministerio de Turismo la realización de los correspondientes llamados a expresiones de interés y llamados a licitación, así como la definición de los procedimientos a seguir hasta la adjudicación o declaración de desierto en su caso, con aprobación del Poder Ejecutivo.</w:t>
      </w:r>
    </w:p>
    <w:p>
      <w:pPr>
        <w:pStyle w:val="Articulo"/>
        <w:keepNext/>
        <w:spacing w:after="120" w:before="280"/>
      </w:pPr>
      <w:r>
        <w:rPr>
          <w:rFonts w:ascii="Arial" w:cs="Arial" w:eastAsia="Arial" w:hAnsi="Arial"/>
          <w:b/>
          <w:bCs/>
          <w:color w:val="14213D"/>
          <w:sz w:val="22"/>
          <w:szCs w:val="22"/>
        </w:rPr>
        <w:t xml:space="preserve">Artículo 38</w:t>
      </w:r>
      <w:r>
        <w:rPr>
          <w:rFonts w:ascii="Arial" w:cs="Arial" w:eastAsia="Arial" w:hAnsi="Arial"/>
          <w:color w:val="555555"/>
          <w:sz w:val="22"/>
          <w:szCs w:val="22"/>
        </w:rPr>
        <w:t xml:space="preserve"> · Proyecto Itacuruzú</w:t>
      </w:r>
    </w:p>
    <w:p>
      <w:pPr>
        <w:spacing w:after="120"/>
        <w:jc w:val="both"/>
      </w:pPr>
      <w:r>
        <w:rPr>
          <w:sz w:val="22"/>
          <w:szCs w:val="22"/>
        </w:rPr>
        <w:t xml:space="preserve">(Proyecto Itacuruzú).- Declárase de necesidad pública la expropiación de los predios necesarios para la construcción de las obras que se identifiquen en el Proyecto Itacuruzú, vinculado al arroyo Conventos en el departamento de Cerro Largo.</w:t>
      </w:r>
    </w:p>
    <w:p>
      <w:pPr>
        <w:pStyle w:val="Articulo"/>
        <w:keepNext/>
        <w:spacing w:after="120" w:before="280"/>
      </w:pPr>
      <w:r>
        <w:rPr>
          <w:rFonts w:ascii="Arial" w:cs="Arial" w:eastAsia="Arial" w:hAnsi="Arial"/>
          <w:b/>
          <w:bCs/>
          <w:color w:val="14213D"/>
          <w:sz w:val="22"/>
          <w:szCs w:val="22"/>
        </w:rPr>
        <w:t xml:space="preserve">Artículo 39</w:t>
      </w:r>
      <w:r>
        <w:rPr>
          <w:rFonts w:ascii="Arial" w:cs="Arial" w:eastAsia="Arial" w:hAnsi="Arial"/>
          <w:color w:val="555555"/>
          <w:sz w:val="22"/>
          <w:szCs w:val="22"/>
        </w:rPr>
        <w:t xml:space="preserve"> · Competencia sobre embarcaciones hundidas</w:t>
      </w:r>
    </w:p>
    <w:p>
      <w:pPr>
        <w:spacing w:after="120"/>
        <w:jc w:val="both"/>
      </w:pPr>
      <w:r>
        <w:rPr>
          <w:sz w:val="22"/>
          <w:szCs w:val="22"/>
        </w:rPr>
        <w:t xml:space="preserve">(Competencia sobre embarcaciones hundidas).- Otórgase a la Administración Nacional de Puertos, en el ámbito de su competencia, las mismas facultades que le fueron concedidas en el artículo 236 de la Ley Nº 16.320, de 1º de noviembre de 1992, a la Dirección Nacional de Hidrografía del Ministerio de Transporte y Obras Públicas.</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La liquidación, la fiscalización y el cobro de los tributos y prestaciones pecuniarias dispuestos por el artículo 1º de la Ley Nº 13.602, de 28 de julio de 1967; por el numeral 1º literal A) del artículo 17 del Decreto-Ley Nº 15.605, de 27 de julio de 1984; por el artículo 458 de la Ley Nº 16.226, de 29 de octubre de 1991, y por el artículo 14 de la Ley Nº 16.082, de 18 de octubre de 1989, se harán por los respectivos atributarios del tributo o prestación respectiva.</w:t>
      </w:r>
    </w:p>
    <w:p>
      <w:pPr>
        <w:spacing w:after="120"/>
        <w:jc w:val="both"/>
      </w:pPr>
      <w:r>
        <w:rPr>
          <w:sz w:val="22"/>
          <w:szCs w:val="22"/>
        </w:rPr>
        <w:t xml:space="preserve">El pago de los referidos tributos y prestaciones se hará efectivo en los plazos y condiciones que establezca el Poder Ejecutivo.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62ffvj0dafizt4dbysmi3">
        <w:r>
          <w:rPr>
            <w:rStyle w:val="Hyperlink"/>
            <w:rFonts w:ascii="Arial" w:cs="Arial" w:eastAsia="Arial" w:hAnsi="Arial"/>
            <w:sz w:val="17"/>
            <w:szCs w:val="17"/>
          </w:rPr>
          <w:t xml:space="preserve">Nº 54/003</w:t>
        </w:r>
      </w:hyperlink>
      <w:r>
        <w:rPr>
          <w:rFonts w:ascii="Arial" w:cs="Arial" w:eastAsia="Arial" w:hAnsi="Arial"/>
          <w:color w:val="555555"/>
          <w:sz w:val="17"/>
          <w:szCs w:val="17"/>
        </w:rPr>
        <w:t xml:space="preserve"> de 06/02/2003.
Ver en esta norma, artículos: </w:t>
      </w:r>
      <w:hyperlink w:history="1" r:id="rId2psyhc6ujarh7luxersmp">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 y </w:t>
      </w:r>
      <w:hyperlink w:history="1" r:id="rIdo0xzhex3frfgk7euw_fav">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La falta de pago de la prestación pecuniaria prevista por el artículo 1º de la Ley Nº 13.602, de 28 de julio de 1967, en la oportunidad correspondiente determinará la aplicación de la multa y recargos por mora dispuestos por el artículo 94 del Código Tributario y su reglamentación.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y-teis_z6mao8pbl_f9hd">
        <w:r>
          <w:rPr>
            <w:rStyle w:val="Hyperlink"/>
            <w:rFonts w:ascii="Arial" w:cs="Arial" w:eastAsia="Arial" w:hAnsi="Arial"/>
            <w:sz w:val="17"/>
            <w:szCs w:val="17"/>
          </w:rPr>
          <w:t xml:space="preserve">Nº 54/003</w:t>
        </w:r>
      </w:hyperlink>
      <w:r>
        <w:rPr>
          <w:rFonts w:ascii="Arial" w:cs="Arial" w:eastAsia="Arial" w:hAnsi="Arial"/>
          <w:color w:val="555555"/>
          <w:sz w:val="17"/>
          <w:szCs w:val="17"/>
        </w:rPr>
        <w:t xml:space="preserve"> de 06/02/2003.
Ver en esta norma, artículo: </w:t>
      </w:r>
      <w:hyperlink w:history="1" r:id="rIdk52zmv__z42wbdlptdljh">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El Secretariado Uruguayo de la Lana (SUL) tendrá acción ejecutiva para el cobro de la prestación pecuniaria fijada en el artículo 1º de la Ley Nº 13.602, de 28 de julio de 1967, más las multas y los recargos por mora. Constituirá título ejecutivo el testimonio de resolución del órgano directivo del SUL, que deberá precisar el nombre del deudor, la indicación del concepto, el monto y el vencimiento de la deuda con expresa referencia a la información de la Dirección Nacional de Aduanas en que se haya basado la determinación.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86owtd_vybzmomwfaxhdx">
        <w:r>
          <w:rPr>
            <w:rStyle w:val="Hyperlink"/>
            <w:rFonts w:ascii="Arial" w:cs="Arial" w:eastAsia="Arial" w:hAnsi="Arial"/>
            <w:sz w:val="17"/>
            <w:szCs w:val="17"/>
          </w:rPr>
          <w:t xml:space="preserve">Nº 54/003</w:t>
        </w:r>
      </w:hyperlink>
      <w:r>
        <w:rPr>
          <w:rFonts w:ascii="Arial" w:cs="Arial" w:eastAsia="Arial" w:hAnsi="Arial"/>
          <w:color w:val="555555"/>
          <w:sz w:val="17"/>
          <w:szCs w:val="17"/>
        </w:rPr>
        <w:t xml:space="preserve"> de 06/02/2003.
Ver en esta norma, artículo: </w:t>
      </w:r>
      <w:hyperlink w:history="1" r:id="rIdpfhkmhtjj2w3cizxfl7vv">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w:t>
      </w:r>
      <w:r>
        <w:rPr>
          <w:rFonts w:ascii="Arial" w:cs="Arial" w:eastAsia="Arial" w:hAnsi="Arial"/>
          <w:color w:val="555555"/>
          <w:sz w:val="22"/>
          <w:szCs w:val="22"/>
        </w:rPr>
        <w:t xml:space="preserve"> · Trámites de exportación</w:t>
      </w:r>
    </w:p>
    <w:p>
      <w:pPr>
        <w:spacing w:after="120"/>
        <w:jc w:val="both"/>
      </w:pPr>
      <w:r>
        <w:rPr>
          <w:sz w:val="22"/>
          <w:szCs w:val="22"/>
        </w:rPr>
        <w:t xml:space="preserve">(Trámites de exportación).- El Ministerio de Economía y Finanzas asumirá todos los cometidos que en materia de créditos de exportación disponen los organismos públicos, de acuerdo con lo dispuesto por las Leyes Nº 13.268, de 9 de julio de 1964, Nº 13.695, de 24 de octubre de 1968, y Nº 16.492, de 2 de junio de 1994, concordantes y complementarias. Sin perjuicio de lo dispuesto en general, le corresponderán a dicho Ministerio la administración, reconocimiento y control de los créditos, expedirá los certificados respectivos, a partir de la fecha que establezca la reglamentación, quedando además facultado a determinar la forma y condiciones de transmisión de dichos créditos.</w:t>
      </w:r>
    </w:p>
    <w:p>
      <w:pPr>
        <w:spacing w:after="120"/>
        <w:jc w:val="both"/>
      </w:pPr>
      <w:r>
        <w:rPr>
          <w:sz w:val="22"/>
          <w:szCs w:val="22"/>
        </w:rPr>
        <w:t xml:space="preserve">El Ministerio de Economía y Finanzas podrá delegar las atribuciones expresadas en un organismo o unidades ejecutoras dependientes del mismo.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llpj7q7frlwdm3tiqsv1p">
        <w:r>
          <w:rPr>
            <w:rStyle w:val="Hyperlink"/>
            <w:rFonts w:ascii="Arial" w:cs="Arial" w:eastAsia="Arial" w:hAnsi="Arial"/>
            <w:sz w:val="17"/>
            <w:szCs w:val="17"/>
          </w:rPr>
          <w:t xml:space="preserve">Nº 32/014</w:t>
        </w:r>
      </w:hyperlink>
      <w:r>
        <w:rPr>
          <w:rFonts w:ascii="Arial" w:cs="Arial" w:eastAsia="Arial" w:hAnsi="Arial"/>
          <w:color w:val="555555"/>
          <w:sz w:val="17"/>
          <w:szCs w:val="17"/>
        </w:rPr>
        <w:t xml:space="preserve"> de 11/02/2014,
 Decreto </w:t>
      </w:r>
      <w:hyperlink w:history="1" r:id="rIdl50fybwbair27p8ts0net">
        <w:r>
          <w:rPr>
            <w:rStyle w:val="Hyperlink"/>
            <w:rFonts w:ascii="Arial" w:cs="Arial" w:eastAsia="Arial" w:hAnsi="Arial"/>
            <w:sz w:val="17"/>
            <w:szCs w:val="17"/>
          </w:rPr>
          <w:t xml:space="preserve">Nº 54/003</w:t>
        </w:r>
      </w:hyperlink>
      <w:r>
        <w:rPr>
          <w:rFonts w:ascii="Arial" w:cs="Arial" w:eastAsia="Arial" w:hAnsi="Arial"/>
          <w:color w:val="555555"/>
          <w:sz w:val="17"/>
          <w:szCs w:val="17"/>
        </w:rPr>
        <w:t xml:space="preserve"> de 06/02/2003.
Ver en esta norma, artículo: </w:t>
      </w:r>
      <w:hyperlink w:history="1" r:id="rIdwnwsojy3v1ykd7gir3wng">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A efectos de determinar la cuantía y la procedencia de los créditos, las entidades beneficiarias de los tributos y prestaciones pecuniarias a que refiere el artículo 40 de esta ley, prestarán su colaboración técnica, en las condiciones que establezca el Poder Ejecutivo.</w:t>
      </w:r>
    </w:p>
    <w:p>
      <w:pPr>
        <w:spacing w:after="120"/>
        <w:jc w:val="both"/>
      </w:pPr>
      <w:r>
        <w:rPr>
          <w:sz w:val="22"/>
          <w:szCs w:val="22"/>
        </w:rPr>
        <w:t xml:space="preserve">El Ministerio de Economía y Finanzas no hará efectiva la expedición de los certificados de créditos a los beneficiarios que no se encuentren al día en los pagos a que se refiere el artículo 40 de esta ley, de acuerdo con la comunicación efectuada por los respectivos organismos acreedores, en la forma que determine la reglamentación.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a12bkfjy1bjpmlbm5xvsc">
        <w:r>
          <w:rPr>
            <w:rStyle w:val="Hyperlink"/>
            <w:rFonts w:ascii="Arial" w:cs="Arial" w:eastAsia="Arial" w:hAnsi="Arial"/>
            <w:sz w:val="17"/>
            <w:szCs w:val="17"/>
          </w:rPr>
          <w:t xml:space="preserve">Nº 32/014</w:t>
        </w:r>
      </w:hyperlink>
      <w:r>
        <w:rPr>
          <w:rFonts w:ascii="Arial" w:cs="Arial" w:eastAsia="Arial" w:hAnsi="Arial"/>
          <w:color w:val="555555"/>
          <w:sz w:val="17"/>
          <w:szCs w:val="17"/>
        </w:rPr>
        <w:t xml:space="preserve"> de 11/02/2014,
 Decreto </w:t>
      </w:r>
      <w:hyperlink w:history="1" r:id="rIdhoxur4dngnsiq0nl5akit">
        <w:r>
          <w:rPr>
            <w:rStyle w:val="Hyperlink"/>
            <w:rFonts w:ascii="Arial" w:cs="Arial" w:eastAsia="Arial" w:hAnsi="Arial"/>
            <w:sz w:val="17"/>
            <w:szCs w:val="17"/>
          </w:rPr>
          <w:t xml:space="preserve">Nº 54/003</w:t>
        </w:r>
      </w:hyperlink>
      <w:r>
        <w:rPr>
          <w:rFonts w:ascii="Arial" w:cs="Arial" w:eastAsia="Arial" w:hAnsi="Arial"/>
          <w:color w:val="555555"/>
          <w:sz w:val="17"/>
          <w:szCs w:val="17"/>
        </w:rPr>
        <w:t xml:space="preserve"> de 06/02/2003.
Ver en esta norma, artículos: </w:t>
      </w:r>
      <w:hyperlink w:history="1" r:id="rId4fastzphvdmoywf9okl1l">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 y </w:t>
      </w:r>
      <w:hyperlink w:history="1" r:id="rIdcdh3s7ayi3ineuu6ls087">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Los Capítulos V y VI del Código Tributario serán aplicables a las infracciones y delitos que se cometieren en la obtención o utilización de los certificados de créditos a que refiere el artículo 44 y en el reconocimiento de créditos inexistentes.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dournhp5pvpa55sjdcarb">
        <w:r>
          <w:rPr>
            <w:rStyle w:val="Hyperlink"/>
            <w:rFonts w:ascii="Arial" w:cs="Arial" w:eastAsia="Arial" w:hAnsi="Arial"/>
            <w:sz w:val="17"/>
            <w:szCs w:val="17"/>
          </w:rPr>
          <w:t xml:space="preserve">Nº 32/014</w:t>
        </w:r>
      </w:hyperlink>
      <w:r>
        <w:rPr>
          <w:rFonts w:ascii="Arial" w:cs="Arial" w:eastAsia="Arial" w:hAnsi="Arial"/>
          <w:color w:val="555555"/>
          <w:sz w:val="17"/>
          <w:szCs w:val="17"/>
        </w:rPr>
        <w:t xml:space="preserve"> de 11/02/2014,
 Decreto </w:t>
      </w:r>
      <w:hyperlink w:history="1" r:id="rIdnf2-p6dt2dplffmsukpan">
        <w:r>
          <w:rPr>
            <w:rStyle w:val="Hyperlink"/>
            <w:rFonts w:ascii="Arial" w:cs="Arial" w:eastAsia="Arial" w:hAnsi="Arial"/>
            <w:sz w:val="17"/>
            <w:szCs w:val="17"/>
          </w:rPr>
          <w:t xml:space="preserve">Nº 54/003</w:t>
        </w:r>
      </w:hyperlink>
      <w:r>
        <w:rPr>
          <w:rFonts w:ascii="Arial" w:cs="Arial" w:eastAsia="Arial" w:hAnsi="Arial"/>
          <w:color w:val="555555"/>
          <w:sz w:val="17"/>
          <w:szCs w:val="17"/>
        </w:rPr>
        <w:t xml:space="preserve"> de 06/02/2003.
Ver en esta norma, artículo: </w:t>
      </w:r>
      <w:hyperlink w:history="1" r:id="rIdgov9knqkgc4eewyx7zsvh">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13.892 de 19/10/1970 artículo 
</w:t>
      </w:r>
      <w:hyperlink w:history="1" r:id="rIdiyev1956ano52xvzrsija">
        <w:r>
          <w:rPr>
            <w:rStyle w:val="Hyperlink"/>
            <w:rFonts w:ascii="Arial" w:cs="Arial" w:eastAsia="Arial" w:hAnsi="Arial"/>
            <w:sz w:val="17"/>
            <w:szCs w:val="17"/>
          </w:rPr>
          <w:t xml:space="preserve">421</w:t>
        </w:r>
      </w:hyperlink>
      <w:r>
        <w:rPr>
          <w:rFonts w:ascii="Arial" w:cs="Arial" w:eastAsia="Arial" w:hAnsi="Arial"/>
          <w:color w:val="555555"/>
          <w:sz w:val="17"/>
          <w:szCs w:val="17"/>
        </w:rPr>
        <w:t xml:space="preserve"> literal a).
Reglamentado por: Decreto </w:t>
      </w:r>
      <w:hyperlink w:history="1" r:id="rIdopu9j3uvwzmesddrjh4rx">
        <w:r>
          <w:rPr>
            <w:rStyle w:val="Hyperlink"/>
            <w:rFonts w:ascii="Arial" w:cs="Arial" w:eastAsia="Arial" w:hAnsi="Arial"/>
            <w:sz w:val="17"/>
            <w:szCs w:val="17"/>
          </w:rPr>
          <w:t xml:space="preserve">Nº 54/003</w:t>
        </w:r>
      </w:hyperlink>
      <w:r>
        <w:rPr>
          <w:rFonts w:ascii="Arial" w:cs="Arial" w:eastAsia="Arial" w:hAnsi="Arial"/>
          <w:color w:val="555555"/>
          <w:sz w:val="17"/>
          <w:szCs w:val="17"/>
        </w:rPr>
        <w:t xml:space="preserve"> de 06/02/2003.</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El Poder Ejecutivo determinará la entrada en vigencia de los artículos 40 a 46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nyvg8s-yanabf5mink7on">
        <w:r>
          <w:rPr>
            <w:rStyle w:val="Hyperlink"/>
            <w:rFonts w:ascii="Arial" w:cs="Arial" w:eastAsia="Arial" w:hAnsi="Arial"/>
            <w:sz w:val="17"/>
            <w:szCs w:val="17"/>
          </w:rPr>
          <w:t xml:space="preserve">Nº 54/003</w:t>
        </w:r>
      </w:hyperlink>
      <w:r>
        <w:rPr>
          <w:rFonts w:ascii="Arial" w:cs="Arial" w:eastAsia="Arial" w:hAnsi="Arial"/>
          <w:color w:val="555555"/>
          <w:sz w:val="17"/>
          <w:szCs w:val="17"/>
        </w:rPr>
        <w:t xml:space="preserve"> de 06/02/2003.</w:t>
      </w:r>
    </w:p>
    <w:p>
      <w:pPr>
        <w:pStyle w:val="Articulo"/>
        <w:keepNext/>
        <w:spacing w:after="120" w:before="280"/>
      </w:pPr>
      <w:r>
        <w:rPr>
          <w:rFonts w:ascii="Arial" w:cs="Arial" w:eastAsia="Arial" w:hAnsi="Arial"/>
          <w:b/>
          <w:bCs/>
          <w:color w:val="14213D"/>
          <w:sz w:val="22"/>
          <w:szCs w:val="22"/>
        </w:rPr>
        <w:t xml:space="preserve">Artículo 48</w:t>
      </w:r>
      <w:r>
        <w:rPr>
          <w:rFonts w:ascii="Arial" w:cs="Arial" w:eastAsia="Arial" w:hAnsi="Arial"/>
          <w:color w:val="555555"/>
          <w:sz w:val="22"/>
          <w:szCs w:val="22"/>
        </w:rPr>
        <w:t xml:space="preserve"> · Personal embarcado de Marina Mercante</w:t>
      </w:r>
    </w:p>
    <w:p>
      <w:pPr>
        <w:spacing w:after="120"/>
        <w:jc w:val="both"/>
      </w:pPr>
      <w:r>
        <w:rPr>
          <w:sz w:val="22"/>
          <w:szCs w:val="22"/>
        </w:rPr>
        <w:t xml:space="preserve">(Personal embarcado de Marina Mercante).- Las aportaciones patronales a los organismos de seguridad social correspondientes al personal embarcado de la Marina Mercante Nacional se regirán por la tabla de valores establecidos en el artículo 1º del Decreto Nº 402/993, de 9 de setiembre de 1993.</w:t>
      </w:r>
    </w:p>
    <w:p>
      <w:pPr>
        <w:pStyle w:val="Articulo"/>
        <w:keepNext/>
        <w:spacing w:after="120" w:before="280"/>
      </w:pPr>
      <w:r>
        <w:rPr>
          <w:rFonts w:ascii="Arial" w:cs="Arial" w:eastAsia="Arial" w:hAnsi="Arial"/>
          <w:b/>
          <w:bCs/>
          <w:color w:val="14213D"/>
          <w:sz w:val="22"/>
          <w:szCs w:val="22"/>
        </w:rPr>
        <w:t xml:space="preserve">Artículo 49</w:t>
      </w:r>
      <w:r>
        <w:rPr>
          <w:rFonts w:ascii="Arial" w:cs="Arial" w:eastAsia="Arial" w:hAnsi="Arial"/>
          <w:color w:val="555555"/>
          <w:sz w:val="22"/>
          <w:szCs w:val="22"/>
        </w:rPr>
        <w:t xml:space="preserve"> · Concesión de programas de obras públicas</w:t>
      </w:r>
    </w:p>
    <w:p>
      <w:pPr>
        <w:spacing w:after="120"/>
        <w:jc w:val="both"/>
      </w:pPr>
      <w:r>
        <w:rPr>
          <w:sz w:val="22"/>
          <w:szCs w:val="22"/>
        </w:rPr>
        <w:t xml:space="preserve">(Concesión de programas de obras públicas).- Autorízase al Poder Ejecutivo por intermedio del Ministerio de Transporte y Obras Públicas, a celebrar convenios con los Gobiernos Departamentales para la realización de programas de obras públicas bajo el régimen de concesión, por iniciativa pública o privada, en el marco de lo dispuesto por la presente ley.</w:t>
      </w:r>
    </w:p>
    <w:p>
      <w:pPr>
        <w:spacing w:after="120"/>
        <w:jc w:val="both"/>
      </w:pPr>
      <w:r>
        <w:rPr>
          <w:sz w:val="22"/>
          <w:szCs w:val="22"/>
        </w:rPr>
        <w:t xml:space="preserve">Las obras correspondientes se contratarán de acuerdo a lo previsto en el Decreto-Ley Nº 15.637, de 28 de setiembre de 1984, en el artículo 522 de la Ley Nº 16.736, de 5 de enero de 1996, y disposiciones nacionales y municipales vigentes en la materia y en lo aplicable por el Pliego de Condiciones Generales para la Construcción de Obras Públicas, Pliego de la Dirección Nacional de Vialidad para la Construcción de Puentes y Carreteras y Pliego de la Dirección Nacional de Arquitectura del Ministerio de Transporte y Obras Públicas.</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Son requisitos de elegibilidad de una obra pública para ser promovida por el régimen que regula esta ley:</w:t>
      </w:r>
    </w:p>
    <w:p>
      <w:pPr>
        <w:spacing w:after="120"/>
        <w:ind w:left="567"/>
        <w:jc w:val="both"/>
      </w:pPr>
      <w:r>
        <w:rPr>
          <w:sz w:val="22"/>
          <w:szCs w:val="22"/>
        </w:rPr>
        <w:t xml:space="preserve">A) Que la Intendencia Municipal determine su utilidad y prioridad.</w:t>
      </w:r>
    </w:p>
    <w:p>
      <w:pPr>
        <w:spacing w:after="120"/>
        <w:ind w:left="567"/>
        <w:jc w:val="both"/>
      </w:pPr>
      <w:r>
        <w:rPr>
          <w:sz w:val="22"/>
          <w:szCs w:val="22"/>
        </w:rPr>
        <w:t xml:space="preserve">B) Que al menos exista un interesado en ser concesionario de la obra</w:t>
      </w:r>
    </w:p>
    <w:p>
      <w:pPr>
        <w:spacing w:after="120"/>
        <w:jc w:val="both"/>
      </w:pPr>
      <w:r>
        <w:rPr>
          <w:sz w:val="22"/>
          <w:szCs w:val="22"/>
        </w:rPr>
        <w:t xml:space="preserve">pública.</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La contratación de la concesión y la selección del concesionario se realizará por un procedimiento competitivo, respetando los principios de concurrencia, igualdad y publicidad. Si concurriera alguna de las empresas constituidas o en formación, integradas por vecinos o propietarios frentistas según el artículo 54, ésta tendrá derecho a la adjudicación a pesar de no ser la más conveniente del llamado, si iguala a la mejor oferta, en un plazo que no excederá de la mitad del original de presentación.</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El llamado y el contrato de concesión establecerán el objeto, el plazo de la concesión, el importe de la cuota mensual de repago que percibirá el concesionario, las garantías requeridas, las especificaciones técnicas correspondientes y todo otro elemento que coadyuve al mejor cumplimiento del contrato.</w:t>
      </w:r>
    </w:p>
    <w:p>
      <w:pPr>
        <w:spacing w:after="120"/>
        <w:jc w:val="both"/>
      </w:pPr>
      <w:r>
        <w:rPr>
          <w:sz w:val="22"/>
          <w:szCs w:val="22"/>
        </w:rPr>
        <w:t xml:space="preserve">Encomiéndase al Ministerio de Transporte y Obras Públicas el diseño de los procedimientos de contratación especiales a utilizar en el marco de esta ley, previo dictamen favorable del Tribunal de Cuentas.</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El importe mensual de cada cuota de repago al concesionario será prorrateado entre los propietarios de inmuebles con frente a espacios del dominio público que se beneficien con las obras, en forma proporcional a los metros de frente de acuerdo a lo que establezca la reglamentación.</w:t>
      </w:r>
    </w:p>
    <w:p>
      <w:pPr>
        <w:spacing w:after="120"/>
        <w:jc w:val="both"/>
      </w:pPr>
      <w:r>
        <w:rPr>
          <w:sz w:val="22"/>
          <w:szCs w:val="22"/>
        </w:rPr>
        <w:t xml:space="preserve">El propietario tendrá obligación de pagar la cuota correspondiente quedando facultados los Gobiernos Departamentales a deducir o adicionar total o parcialmente el importe de la cuota de la contribución inmobiliaria.</w:t>
      </w:r>
    </w:p>
    <w:p>
      <w:pPr>
        <w:pStyle w:val="Articulo"/>
        <w:keepNext/>
        <w:spacing w:after="120" w:before="280"/>
      </w:pPr>
      <w:r>
        <w:rPr>
          <w:rFonts w:ascii="Arial" w:cs="Arial" w:eastAsia="Arial" w:hAnsi="Arial"/>
          <w:b/>
          <w:bCs/>
          <w:color w:val="14213D"/>
          <w:sz w:val="22"/>
          <w:szCs w:val="22"/>
        </w:rPr>
        <w:t xml:space="preserve">Artículo 54</w:t>
      </w:r>
    </w:p>
    <w:p>
      <w:pPr>
        <w:spacing w:after="120"/>
        <w:jc w:val="both"/>
      </w:pPr>
      <w:r>
        <w:rPr>
          <w:sz w:val="22"/>
          <w:szCs w:val="22"/>
        </w:rPr>
        <w:t xml:space="preserve">En el llamado a interesados sólo podrán presentarse empresas inscriptas en el Registro Nacional de Empresas o en el registro de la Intendencia Municipal correspondiente.</w:t>
      </w:r>
    </w:p>
    <w:p>
      <w:pPr>
        <w:spacing w:after="120"/>
        <w:jc w:val="both"/>
      </w:pPr>
      <w:r>
        <w:rPr>
          <w:sz w:val="22"/>
          <w:szCs w:val="22"/>
        </w:rPr>
        <w:t xml:space="preserve">Se exceptúa del requisito anterior a las empresas legalmente constituidas o en formación, cuyo capital esté integrado por lo menos en un 60% (sesenta por ciento) por vecinos de la zona o por propietarios de inmuebles con frente a espacios del dominio público a los que se proyectan las obras. Previamente a la celebración de los contratos de concesión si se tratara de empresas en formación, éstas deberán culminar el trámite de su constitución.</w:t>
      </w:r>
    </w:p>
    <w:p>
      <w:pPr>
        <w:spacing w:after="120"/>
        <w:jc w:val="both"/>
      </w:pPr>
      <w:r>
        <w:rPr>
          <w:sz w:val="22"/>
          <w:szCs w:val="22"/>
        </w:rPr>
        <w:t xml:space="preserve">Se facilitará la participación de la pequeña empresa adecuando el tamaño de las obras a realizar.</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Autorízase al Poder Ejecutivo a constituir un fondo con el objeto de otorgar aval o fianza por las obligaciones que surjan de esta operativa en el interior de la República.</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El Ministerio de Transporte y Obras Públicas y los Gobiernos Departamentales correspondientes podrán poner a disposición de las empresas concesionarias, en las condiciones que se establezcan en el llamado, los elementos de carácter técnico, proyectos, dirección de obra y equipamiento necesarios para la realización de la obra.</w:t>
      </w:r>
    </w:p>
    <w:p>
      <w:pPr>
        <w:pStyle w:val="Articulo"/>
        <w:keepNext/>
        <w:spacing w:after="120" w:before="280"/>
      </w:pPr>
      <w:r>
        <w:rPr>
          <w:rFonts w:ascii="Arial" w:cs="Arial" w:eastAsia="Arial" w:hAnsi="Arial"/>
          <w:b/>
          <w:bCs/>
          <w:color w:val="14213D"/>
          <w:sz w:val="22"/>
          <w:szCs w:val="22"/>
        </w:rPr>
        <w:t xml:space="preserve">Artículo 57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15.852 de 24/12/1986 artículo </w:t>
      </w:r>
      <w:hyperlink w:history="1" r:id="rIdcpkr4cepkjmvxti1vsp24">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inciso 
2º).</w:t>
      </w:r>
    </w:p>
    <w:p>
      <w:pPr>
        <w:pStyle w:val="Articulo"/>
        <w:keepNext/>
        <w:spacing w:after="120" w:before="280"/>
      </w:pPr>
      <w:r>
        <w:rPr>
          <w:rFonts w:ascii="Arial" w:cs="Arial" w:eastAsia="Arial" w:hAnsi="Arial"/>
          <w:b/>
          <w:bCs/>
          <w:color w:val="14213D"/>
          <w:sz w:val="22"/>
          <w:szCs w:val="22"/>
        </w:rPr>
        <w:t xml:space="preserve">Artículo 58</w:t>
      </w:r>
      <w:r>
        <w:rPr>
          <w:rFonts w:ascii="Arial" w:cs="Arial" w:eastAsia="Arial" w:hAnsi="Arial"/>
          <w:color w:val="555555"/>
          <w:sz w:val="22"/>
          <w:szCs w:val="22"/>
        </w:rPr>
        <w:t xml:space="preserve"> · Comisión de Aplicación</w:t>
      </w:r>
    </w:p>
    <w:p>
      <w:pPr>
        <w:spacing w:after="120"/>
        <w:jc w:val="both"/>
      </w:pPr>
      <w:r>
        <w:rPr>
          <w:sz w:val="22"/>
          <w:szCs w:val="22"/>
        </w:rPr>
        <w:t xml:space="preserve">(Comisión de Aplicación).- Cométese a la Comisión de Aplicación creada por la Ley Nº 16.906, de 7 de enero de 1998, a realizar un análisis de precalificación o elegibilidad de los proyectos que se sometan a su consideración, de acuerdo a las pautas que determine el Poder Ejecutivo. Esta instancia será previa al proceso de evaluación de factibilidad del proyecto.</w:t>
      </w:r>
    </w:p>
    <w:p>
      <w:pPr>
        <w:spacing w:after="120"/>
        <w:jc w:val="both"/>
      </w:pPr>
      <w:r>
        <w:rPr>
          <w:sz w:val="22"/>
          <w:szCs w:val="22"/>
        </w:rPr>
        <w:t xml:space="preserve">La precalificación o elegibilidad será determinada por consenso entre el delegado de la Comisión que actúa en representación del Ministerio al que correspondiere el proyecto y el del Ministerio de Economía y Finanzas, en un plazo máximo de 10 días.</w:t>
      </w:r>
    </w:p>
    <w:p>
      <w:pPr>
        <w:spacing w:after="120"/>
        <w:jc w:val="both"/>
      </w:pPr>
      <w:r>
        <w:rPr>
          <w:sz w:val="22"/>
          <w:szCs w:val="22"/>
        </w:rPr>
        <w:t xml:space="preserve">De no alcanzarse el consenso se entenderá que existe dictamen positivo.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Nº 379/002 de 28/09/2002 artículo </w:t>
      </w:r>
      <w:hyperlink w:history="1" r:id="rIdsk_sbphslkjgrthxxqfhb">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w:t>
      </w:r>
    </w:p>
    <w:p>
      <w:pPr>
        <w:spacing w:after="120"/>
        <w:jc w:val="both"/>
      </w:pPr>
      <w:r>
        <w:rPr>
          <w:sz w:val="22"/>
          <w:szCs w:val="22"/>
        </w:rPr>
        <w:t xml:space="preserve">A partir de la vigencia de esta ley la Comisión de Aplicación creada por la Ley Nº 16.906, de 7 de enero de 1998, quedará integrada, además, con un miembro con voz y voto en representación del Ministerio de Turismo, el que quedará sujeto a las normas establecidas para el resto de los miembros del referido cuerpo.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Nº 379/002 de 28/09/2002 artículo </w:t>
      </w:r>
      <w:hyperlink w:history="1" r:id="rIdur1wpz8lm3sdycivbf4ta">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16.713 de 03/09/1995 artículo 
</w:t>
      </w:r>
      <w:hyperlink w:history="1" r:id="rIdl2gjghfdr55obugm38lku">
        <w:r>
          <w:rPr>
            <w:rStyle w:val="Hyperlink"/>
            <w:rFonts w:ascii="Arial" w:cs="Arial" w:eastAsia="Arial" w:hAnsi="Arial"/>
            <w:sz w:val="17"/>
            <w:szCs w:val="17"/>
          </w:rPr>
          <w:t xml:space="preserve">167</w:t>
        </w:r>
      </w:hyperlink>
      <w:r>
        <w:rPr>
          <w:rFonts w:ascii="Arial" w:cs="Arial" w:eastAsia="Arial" w:hAnsi="Arial"/>
          <w:color w:val="555555"/>
          <w:sz w:val="17"/>
          <w:szCs w:val="17"/>
        </w:rPr>
        <w:t xml:space="preserve"> numeral 4º).</w:t>
      </w:r>
    </w:p>
    <w:p>
      <w:pPr>
        <w:pStyle w:val="Articulo"/>
        <w:keepNext/>
        <w:spacing w:after="120" w:before="280"/>
      </w:pPr>
      <w:r>
        <w:rPr>
          <w:rFonts w:ascii="Arial" w:cs="Arial" w:eastAsia="Arial" w:hAnsi="Arial"/>
          <w:b/>
          <w:bCs/>
          <w:color w:val="14213D"/>
          <w:sz w:val="22"/>
          <w:szCs w:val="22"/>
        </w:rPr>
        <w:t xml:space="preserve">Artículo 61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18.840 de 23/11/2011 artículo </w:t>
      </w:r>
      <w:hyperlink w:history="1" r:id="rIdqbsrchyf0ppmzgcxtn4la">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17.555 de 18/09/2002 artículo </w:t>
      </w:r>
      <w:hyperlink w:history="1" r:id="rIdxhfyn4jmvjssg8ovcqhf2">
        <w:r>
          <w:rPr>
            <w:rStyle w:val="Hyperlink"/>
            <w:rFonts w:ascii="Arial" w:cs="Arial" w:eastAsia="Arial" w:hAnsi="Arial"/>
            <w:sz w:val="17"/>
            <w:szCs w:val="17"/>
          </w:rPr>
          <w:t xml:space="preserve">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62</w:t>
      </w:r>
    </w:p>
    <w:p>
      <w:pPr>
        <w:spacing w:after="120"/>
        <w:jc w:val="both"/>
      </w:pPr>
      <w:r>
        <w:rPr>
          <w:sz w:val="22"/>
          <w:szCs w:val="22"/>
        </w:rPr>
        <w:t xml:space="preserve">Facúltase al Poder Ejecutivo a incluir en el concepto de exportación de servicios, a los efectos del Impuesto al Valor Agregado, a los servicios prestados por hoteles, relacionados con el hospedaje a no residentes. Esta exoneración beneficiará únicamente a los hoteles registrados ante el Ministerio de Turismo.</w:t>
      </w:r>
    </w:p>
    <w:p>
      <w:pPr>
        <w:spacing w:after="120"/>
        <w:jc w:val="both"/>
      </w:pPr>
      <w:r>
        <w:rPr>
          <w:sz w:val="22"/>
          <w:szCs w:val="22"/>
        </w:rPr>
        <w:t xml:space="preserve">Durante el período en que dicha facultad sea ejercida, la alícuota de los impuestos creados por los literales a) y b) del artículo 146 de la Ley Nº 13.637, de 21 de diciembre de 1967, se incrementará hasta un 7,5% (siete con cincuenta puntos porcentuales) destinándose el producido de dicho incremento a Rentas Generales. (*)</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Grávase con un impuesto de hasta el 5,5% (cinco con cincuenta puntos porcentuales) el costo de los pasajes fluviales, el que será de cargo del adquirente del pasaje, siendo agentes de recaudación las empresas transportistas.</w:t>
      </w:r>
    </w:p>
    <w:p>
      <w:pPr>
        <w:spacing w:after="120"/>
        <w:jc w:val="both"/>
      </w:pPr>
      <w:r>
        <w:rPr>
          <w:sz w:val="22"/>
          <w:szCs w:val="22"/>
        </w:rPr>
        <w:t xml:space="preserve">Su alícuota será fijada por el Poder Ejecutivo, el que establecerá las normas de recaudación pertinentes.</w:t>
      </w:r>
    </w:p>
    <w:p>
      <w:pPr>
        <w:spacing w:after="120"/>
        <w:jc w:val="both"/>
      </w:pPr>
      <w:r>
        <w:rPr>
          <w:sz w:val="22"/>
          <w:szCs w:val="22"/>
        </w:rPr>
        <w:t xml:space="preserve">El producido del tributo será depositado directamente en cuenta especial, para acreditar, en moneda extranjera, en el Banco de la República Oriental del Uruguay.</w:t>
      </w:r>
    </w:p>
    <w:p>
      <w:pPr>
        <w:spacing w:after="120"/>
        <w:jc w:val="both"/>
      </w:pPr>
      <w:r>
        <w:rPr>
          <w:sz w:val="22"/>
          <w:szCs w:val="22"/>
        </w:rPr>
        <w:t xml:space="preserve">Créase con los fondos recaudados el "Fondo de Promoción de Turismo de Uruguay en el Exterior", el que será administrado y dispuesto por el Ministerio de Turismo, el que lo destinará en forma exclusiva a la promoción turística del Uruguay en el exterior. En ningún caso los fondos podrán ser utilizados en remuneraciones personales de clase alguna. (*)</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Cométese al Poder Ejecutivo, a través del Ministerio de Industria, Energía y Minería, el desarrollo de un Plan de Explotación Minera con la finalidad de dinamizar la producción y comercialización de gemas, piedras preciosas y semipreciosas en el departamento de Artigas.</w:t>
      </w:r>
    </w:p>
    <w:p>
      <w:pPr>
        <w:spacing w:after="120"/>
        <w:jc w:val="both"/>
      </w:pPr>
      <w:r>
        <w:rPr>
          <w:sz w:val="22"/>
          <w:szCs w:val="22"/>
        </w:rPr>
        <w:t xml:space="preserve">A este Ministerio corresponderá la coordinación de las acciones de los distintos organismos, a efectos de unificar y simplificar la concreción y aplicación del mencionado Plan, en todos sus aspectos.</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Autorízase a la Corporación Nacional para el Desarrollo a constituir una sociedad anónima que tendrá como objeto intervenir en la comercialización de la producción de la actividad extractiva de gemas, piedras preciosas y semipreciosas.</w:t>
      </w:r>
    </w:p>
    <w:p>
      <w:pPr>
        <w:spacing w:after="120"/>
        <w:jc w:val="both"/>
      </w:pPr>
      <w:r>
        <w:rPr>
          <w:sz w:val="22"/>
          <w:szCs w:val="22"/>
        </w:rPr>
        <w:t xml:space="preserve">El Poder Ejecutivo reglamentará la forma de constitución de la sociedad referida, las condiciones que deberán reunir sus integrantes los que se procurará sean fundamentalmente los productores y los demás aspectos que correspondan.</w:t>
      </w:r>
    </w:p>
    <w:p>
      <w:pPr>
        <w:pStyle w:val="Articulo"/>
        <w:keepNext/>
        <w:spacing w:after="120" w:before="280"/>
      </w:pPr>
      <w:r>
        <w:rPr>
          <w:rFonts w:ascii="Arial" w:cs="Arial" w:eastAsia="Arial" w:hAnsi="Arial"/>
          <w:b/>
          <w:bCs/>
          <w:color w:val="14213D"/>
          <w:sz w:val="22"/>
          <w:szCs w:val="22"/>
        </w:rPr>
        <w:t xml:space="preserve">Artículo 66</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17.678 de 30/07/2003 artículo </w:t>
      </w:r>
      <w:hyperlink w:history="1" r:id="rIdyiemgvqkdr9xxozoiu61r">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17.555 de 18/09/2002 artículo </w:t>
      </w:r>
      <w:hyperlink w:history="1" r:id="rIdscavlm5oitqpwd8pame_w">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Las sociedades comerciales y las empresas unipersonales que tengan saldo neto negativo proveniente de diferencias de cambio, originadas por obligaciones en moneda extranjera concertadas con anterioridad al 30 de junio de 2002, podrán optar al cierre del ejercicio económico en curso a esa fecha y en el siguiente, por contabilizar dicho saldo, total o parcialmente en el activo, en una cuenta que se denominará "Diferencias de Cambio", y que estará individualizada con el número de la presente ley. El saldo referido sólo incluirá las diferencias de cambio motivadas por las variaciones en la cotización de la moneda extranjera ocurridas entre el 1º de junio de 2002 y el cierre del ejercicio.</w:t>
      </w:r>
    </w:p>
    <w:p>
      <w:pPr>
        <w:spacing w:after="120"/>
        <w:jc w:val="both"/>
      </w:pPr>
      <w:r>
        <w:rPr>
          <w:sz w:val="22"/>
          <w:szCs w:val="22"/>
        </w:rPr>
        <w:t xml:space="preserve">En el caso de hacer uso de la opción, cada saldo anual se amortizará en cuotas iguales en un plazo de tres, cuatro o cinco años a partir del ejercicio en que se originaron. Formulada la opción en cuanto al número de años, ésta no podrá variarse.</w:t>
      </w:r>
    </w:p>
    <w:p>
      <w:pPr>
        <w:spacing w:after="120"/>
        <w:jc w:val="both"/>
      </w:pPr>
      <w:r>
        <w:rPr>
          <w:sz w:val="22"/>
          <w:szCs w:val="22"/>
        </w:rPr>
        <w:t xml:space="preserve">No están comprendidas en el presente artículo las empresas referidas en el Decreto-Ley Nº 15.322, de 17 de setiembre de 1982.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s1sojuti_ljsooo_u2lz">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 y </w:t>
      </w:r>
      <w:hyperlink w:history="1" r:id="rIdo2ah9rxv4rkzo-a9s0d45">
        <w:r>
          <w:rPr>
            <w:rStyle w:val="Hyperlink"/>
            <w:rFonts w:ascii="Arial" w:cs="Arial" w:eastAsia="Arial" w:hAnsi="Arial"/>
            <w:sz w:val="17"/>
            <w:szCs w:val="17"/>
          </w:rPr>
          <w:t xml:space="preserve">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De existir utilidades contables en cualquiera de los ejercicios mencionados en el artículo anterior, luego de deducida la amortización correspondiente, dicha utilidad se destinará a disminuir el saldo de la cuenta "Diferencias de Cambio", por orden de antigüedad, hasta su total cancelación, aunque ello implique abreviar el plazo de la opción. En caso de quedar un remanente no absorbido por dichas utilidades, el mismo continuará siendo amortizado por las cuotas fijadas inicialmente.</w:t>
      </w:r>
    </w:p>
    <w:p>
      <w:pPr>
        <w:pStyle w:val="Articulo"/>
        <w:keepNext/>
        <w:spacing w:after="120" w:before="280"/>
      </w:pPr>
      <w:r>
        <w:rPr>
          <w:rFonts w:ascii="Arial" w:cs="Arial" w:eastAsia="Arial" w:hAnsi="Arial"/>
          <w:b/>
          <w:bCs/>
          <w:color w:val="14213D"/>
          <w:sz w:val="22"/>
          <w:szCs w:val="22"/>
        </w:rPr>
        <w:t xml:space="preserve">Artículo 69</w:t>
      </w:r>
    </w:p>
    <w:p>
      <w:pPr>
        <w:spacing w:after="120"/>
        <w:jc w:val="both"/>
      </w:pPr>
      <w:r>
        <w:rPr>
          <w:sz w:val="22"/>
          <w:szCs w:val="22"/>
        </w:rPr>
        <w:t xml:space="preserve">Formulada la opción prevista en el artículo 67, los contribuyentes de los Impuestos a las Rentas de la Industria y Comercio y a las Rentas Agropecuarias, podrán optar por activar y amortizar las referidas diferencias de cambio con arreglo a lo dispuesto por la presente ley o imputarlas como pérdida fiscal de acuerdo con el régimen general.</w:t>
      </w:r>
    </w:p>
    <w:p>
      <w:pPr>
        <w:pStyle w:val="Articulo"/>
        <w:keepNext/>
        <w:spacing w:after="120" w:before="280"/>
      </w:pPr>
      <w:r>
        <w:rPr>
          <w:rFonts w:ascii="Arial" w:cs="Arial" w:eastAsia="Arial" w:hAnsi="Arial"/>
          <w:b/>
          <w:bCs/>
          <w:color w:val="14213D"/>
          <w:sz w:val="22"/>
          <w:szCs w:val="22"/>
        </w:rPr>
        <w:t xml:space="preserve">Artículo 70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17.596 de 13/12/2002 artículo </w:t>
      </w:r>
      <w:hyperlink w:history="1" r:id="rIdrugtw5kve8opqdgudr8tp">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17.555 de 18/09/2002 artículo </w:t>
      </w:r>
      <w:hyperlink w:history="1" r:id="rIdk0zrpovbu-gs1eszd14rt">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16.524 de 25/07/1994 artículo 
</w:t>
      </w:r>
      <w:hyperlink w:history="1" r:id="rIduwzdwos0s2guohpmlwl88">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2º).</w:t>
      </w:r>
    </w:p>
    <w:p>
      <w:pPr>
        <w:pStyle w:val="Articulo"/>
        <w:keepNext/>
        <w:spacing w:after="120" w:before="280"/>
      </w:pPr>
      <w:r>
        <w:rPr>
          <w:rFonts w:ascii="Arial" w:cs="Arial" w:eastAsia="Arial" w:hAnsi="Arial"/>
          <w:b/>
          <w:bCs/>
          <w:color w:val="14213D"/>
          <w:sz w:val="22"/>
          <w:szCs w:val="22"/>
        </w:rPr>
        <w:t xml:space="preserve">Artículo 72</w:t>
      </w:r>
    </w:p>
    <w:p>
      <w:pPr>
        <w:spacing w:after="120"/>
        <w:jc w:val="both"/>
      </w:pPr>
      <w:r>
        <w:rPr>
          <w:sz w:val="22"/>
          <w:szCs w:val="22"/>
        </w:rPr>
        <w:t xml:space="preserve">Facúltase al Poder Ejecutivo a implementar un mecanismo alternativo al existente para el pago de las importaciones de petróleo crudo por parte de la Administración Nacional de Combustibles, Alcohol y Pórtland (ANCAP). Este mecanismo consistirá en otorgar el pago de las importaciones mencionadas, con productos que integren la oferta exportable uruguaya.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ripwzcgrbt7qma5a7zpxu">
        <w:r>
          <w:rPr>
            <w:rStyle w:val="Hyperlink"/>
            <w:rFonts w:ascii="Arial" w:cs="Arial" w:eastAsia="Arial" w:hAnsi="Arial"/>
            <w:sz w:val="17"/>
            <w:szCs w:val="17"/>
          </w:rPr>
          <w:t xml:space="preserve">Nº 458/002</w:t>
        </w:r>
      </w:hyperlink>
      <w:r>
        <w:rPr>
          <w:rFonts w:ascii="Arial" w:cs="Arial" w:eastAsia="Arial" w:hAnsi="Arial"/>
          <w:color w:val="555555"/>
          <w:sz w:val="17"/>
          <w:szCs w:val="17"/>
        </w:rPr>
        <w:t xml:space="preserve"> de 27/11/2002.</w:t>
      </w:r>
    </w:p>
    <w:p>
      <w:pPr>
        <w:pStyle w:val="Articulo"/>
        <w:keepNext/>
        <w:spacing w:after="120" w:before="280"/>
      </w:pPr>
      <w:r>
        <w:rPr>
          <w:rFonts w:ascii="Arial" w:cs="Arial" w:eastAsia="Arial" w:hAnsi="Arial"/>
          <w:b/>
          <w:bCs/>
          <w:color w:val="14213D"/>
          <w:sz w:val="22"/>
          <w:szCs w:val="22"/>
        </w:rPr>
        <w:t xml:space="preserve">Artículo 73</w:t>
      </w:r>
    </w:p>
    <w:p>
      <w:pPr>
        <w:spacing w:after="120"/>
        <w:jc w:val="both"/>
      </w:pPr>
      <w:r>
        <w:rPr>
          <w:sz w:val="22"/>
          <w:szCs w:val="22"/>
        </w:rPr>
        <w:t xml:space="preserve">Facúltase al Poder Ejecutivo a implementar un Plan Agrícola de Emergencia para los próximos cultivos de verano. Este podrá consistir en una canasta de insumos (combustibles, fertilizantes, herbicidas) que se instrumentará a través del Ministerio de Ganadería, Agricultura y Pesca, de la Administración Nacional de Combustibles, Alcohol y Pórtland (ANCAP) y del Banco de la República Oriental del Uruguay.</w:t>
      </w:r>
    </w:p>
    <w:p>
      <w:pPr>
        <w:pStyle w:val="Articulo"/>
        <w:keepNext/>
        <w:spacing w:after="120" w:before="280"/>
      </w:pPr>
      <w:r>
        <w:rPr>
          <w:rFonts w:ascii="Arial" w:cs="Arial" w:eastAsia="Arial" w:hAnsi="Arial"/>
          <w:b/>
          <w:bCs/>
          <w:color w:val="14213D"/>
          <w:sz w:val="22"/>
          <w:szCs w:val="22"/>
        </w:rPr>
        <w:t xml:space="preserve">Artículo 74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Decreto Ley Nº 14.219 de 04/07/1974 
artículo </w:t>
      </w:r>
      <w:hyperlink w:history="1" r:id="rIdqvkios6d60sjalhx2s9wy">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literal A) apartado a).</w:t>
      </w:r>
    </w:p>
    <w:p>
      <w:pPr>
        <w:pStyle w:val="Articulo"/>
        <w:keepNext/>
        <w:spacing w:after="120" w:before="280"/>
      </w:pPr>
      <w:r>
        <w:rPr>
          <w:rFonts w:ascii="Arial" w:cs="Arial" w:eastAsia="Arial" w:hAnsi="Arial"/>
          <w:b/>
          <w:bCs/>
          <w:color w:val="14213D"/>
          <w:sz w:val="22"/>
          <w:szCs w:val="22"/>
        </w:rPr>
        <w:t xml:space="preserve">Artículo 75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Civil de 19/10/1994 artículo 
</w:t>
      </w:r>
      <w:hyperlink w:history="1" r:id="rIdqzgtihj-syauohz5hdmpd">
        <w:r>
          <w:rPr>
            <w:rStyle w:val="Hyperlink"/>
            <w:rFonts w:ascii="Arial" w:cs="Arial" w:eastAsia="Arial" w:hAnsi="Arial"/>
            <w:sz w:val="17"/>
            <w:szCs w:val="17"/>
          </w:rPr>
          <w:t xml:space="preserve">1782</w:t>
        </w:r>
      </w:hyperlink>
      <w:r>
        <w:rPr>
          <w:rFonts w:ascii="Arial" w:cs="Arial" w:eastAsia="Arial" w:hAnsi="Arial"/>
          <w:color w:val="555555"/>
          <w:sz w:val="17"/>
          <w:szCs w:val="17"/>
        </w:rPr>
        <w:t xml:space="preserve"> inciso 3º).</w:t>
      </w:r>
    </w:p>
    <w:p>
      <w:pPr>
        <w:pStyle w:val="Articulo"/>
        <w:keepNext/>
        <w:spacing w:after="120" w:before="280"/>
      </w:pPr>
      <w:r>
        <w:rPr>
          <w:rFonts w:ascii="Arial" w:cs="Arial" w:eastAsia="Arial" w:hAnsi="Arial"/>
          <w:b/>
          <w:bCs/>
          <w:color w:val="14213D"/>
          <w:sz w:val="22"/>
          <w:szCs w:val="22"/>
        </w:rPr>
        <w:t xml:space="preserve">Artículo 76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Decreto Ley Nº 14.384 de 16/06/1975 artículo </w:t>
      </w:r>
      <w:hyperlink w:history="1" r:id="rIdsm1sd2r1j7oa1pkbq55v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 f).</w:t>
      </w:r>
    </w:p>
    <w:p>
      <w:pPr>
        <w:pStyle w:val="Articulo"/>
        <w:keepNext/>
        <w:spacing w:after="120" w:before="280"/>
      </w:pPr>
      <w:r>
        <w:rPr>
          <w:rFonts w:ascii="Arial" w:cs="Arial" w:eastAsia="Arial" w:hAnsi="Arial"/>
          <w:b/>
          <w:bCs/>
          <w:color w:val="14213D"/>
          <w:sz w:val="22"/>
          <w:szCs w:val="22"/>
        </w:rPr>
        <w:t xml:space="preserve">Artículo 77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15.939 de 28/12/1987 artículo </w:t>
      </w:r>
      <w:hyperlink w:history="1" r:id="rIdcu_rog2r5orw0mg4ikkg2">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inciso 
2º).</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Facúltase al Poder Ejecutivo -previo informe favorable de la Contaduría General de la Nación- la transferencia al Programa 004 (Fuerza Aérea Uruguaya) Unidad Ejecutora 023 (Comando General de la Fuerza Aérea) provenientes de la aplicación del artículo 21 de la presente ley, de los fondos que permitan la compra de radares de corto y largo alcance, para el desarrollo efectivo del "Sistema de Vigilancia y Control del Espacio Aéreo".</w:t>
      </w:r>
    </w:p>
    <w:p>
      <w:pPr>
        <w:spacing w:after="120"/>
        <w:jc w:val="both"/>
      </w:pPr>
      <w:r>
        <w:rPr>
          <w:sz w:val="22"/>
          <w:szCs w:val="22"/>
        </w:rPr>
        <w:t xml:space="preserve">El monto a transferir, sus plazos y condiciones, serán establecidas por el Poder Ejecutivo.</w:t>
      </w:r>
    </w:p>
    <w:p>
      <w:pPr>
        <w:pStyle w:val="Articulo"/>
        <w:keepNext/>
        <w:spacing w:after="120" w:before="280"/>
      </w:pPr>
      <w:r>
        <w:rPr>
          <w:rFonts w:ascii="Arial" w:cs="Arial" w:eastAsia="Arial" w:hAnsi="Arial"/>
          <w:b/>
          <w:bCs/>
          <w:color w:val="14213D"/>
          <w:sz w:val="22"/>
          <w:szCs w:val="22"/>
        </w:rPr>
        <w:t xml:space="preserve">Artículo 79</w:t>
      </w:r>
    </w:p>
    <w:p>
      <w:pPr>
        <w:spacing w:after="120"/>
        <w:jc w:val="both"/>
      </w:pPr>
      <w:r>
        <w:rPr>
          <w:sz w:val="22"/>
          <w:szCs w:val="22"/>
        </w:rPr>
        <w:t xml:space="preserve">Facúltase a la Administración Nacional de Usinas y Trasmisiones Eléctricas (UTE) a exonerar del pago de multas, recargos por mora y tasas de corte y reconexión, a los clientes de tarifa residencial, a los que se les hubiera cortado el servicio por falta de pago y cuya deuda por consumos no exceda de $ 3.000 (pesos uruguayos tres mil).</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Todos los depósitos de fondos de instituciones públicas serán realizados en el Banco de la República Oriental del Uruguay.</w:t>
      </w:r>
    </w:p>
    <w:p>
      <w:pPr>
        <w:spacing w:after="120"/>
        <w:jc w:val="both"/>
      </w:pPr>
      <w:r>
        <w:rPr>
          <w:sz w:val="22"/>
          <w:szCs w:val="22"/>
        </w:rPr>
        <w:t xml:space="preserve">Habilítase a la Tesorería General de la Nación a realizar transferencias a bancos del exterior para la cancelación de obligaciones correspondientes a gastos de funcionamiento e inversión, así como el pago de remuneraciones, las que podrán ser efectuadas a través de instituciones de intermediación financiera no estatales, de acuerdo a la reglamentación que a estos efectos dicte el Poder Ejecutivo.(*)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l6cwgyj4lfziv4itngt3h">
        <w:r>
          <w:rPr>
            <w:rStyle w:val="Hyperlink"/>
            <w:rFonts w:ascii="Arial" w:cs="Arial" w:eastAsia="Arial" w:hAnsi="Arial"/>
            <w:sz w:val="17"/>
            <w:szCs w:val="17"/>
          </w:rPr>
          <w:t xml:space="preserve">253</w:t>
        </w:r>
      </w:hyperlink>
      <w:r>
        <w:rPr>
          <w:rFonts w:ascii="Arial" w:cs="Arial" w:eastAsia="Arial" w:hAnsi="Arial"/>
          <w:color w:val="555555"/>
          <w:sz w:val="17"/>
          <w:szCs w:val="17"/>
        </w:rPr>
        <w:t xml:space="preserve">.
Ver vigencia: Ley Nº 19.924 de 18/12/2020 artículo </w:t>
      </w:r>
      <w:hyperlink w:history="1" r:id="rIdw10eyga-tiin8pmlzzt2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hwqq11kazlmscgswrlyc">
        <w:r>
          <w:rPr>
            <w:rStyle w:val="Hyperlink"/>
            <w:rFonts w:ascii="Arial" w:cs="Arial" w:eastAsia="Arial" w:hAnsi="Arial"/>
            <w:sz w:val="17"/>
            <w:szCs w:val="17"/>
          </w:rPr>
          <w:t xml:space="preserve">Nº 375/002</w:t>
        </w:r>
      </w:hyperlink>
      <w:r>
        <w:rPr>
          <w:rFonts w:ascii="Arial" w:cs="Arial" w:eastAsia="Arial" w:hAnsi="Arial"/>
          <w:color w:val="555555"/>
          <w:sz w:val="17"/>
          <w:szCs w:val="17"/>
        </w:rPr>
        <w:t xml:space="preserve"> de 28/09/2002.</w:t>
      </w:r>
    </w:p>
    <w:p>
      <w:pPr>
        <w:shd w:fill="F4F5F8" w:val="clear"/>
        <w:spacing w:after="60"/>
        <w:ind w:left="360"/>
      </w:pPr>
      <w:r>
        <w:rPr>
          <w:rFonts w:ascii="Arial" w:cs="Arial" w:eastAsia="Arial" w:hAnsi="Arial"/>
          <w:color w:val="555555"/>
          <w:sz w:val="17"/>
          <w:szCs w:val="17"/>
        </w:rPr>
        <w:t xml:space="preserve">TEXTO ORIGINAL: Ley Nº 17.555 de 18/09/2002 artículo </w:t>
      </w:r>
      <w:hyperlink w:history="1" r:id="rIdoyenycon50ja1zfqsojwp">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81</w:t>
      </w:r>
    </w:p>
    <w:p>
      <w:pPr>
        <w:spacing w:after="120"/>
        <w:jc w:val="both"/>
      </w:pPr>
      <w:r>
        <w:rPr>
          <w:sz w:val="22"/>
          <w:szCs w:val="22"/>
        </w:rPr>
        <w:t xml:space="preserve">Declárase comprendida en las exoneraciones dispuestas por el artículo 134 de la Ley Nº 12.802, de 30 de noviembre de 1960, a la Comisión Honoraria Administradora del Fondo de Solidaridad, creada por la Ley Nº 16.524, de 25 de julio de 1994.</w:t>
      </w:r>
    </w:p>
    <w:p>
      <w:pPr>
        <w:pStyle w:val="Articulo"/>
        <w:keepNext/>
        <w:spacing w:after="120" w:before="280"/>
      </w:pPr>
      <w:r>
        <w:rPr>
          <w:rFonts w:ascii="Arial" w:cs="Arial" w:eastAsia="Arial" w:hAnsi="Arial"/>
          <w:b/>
          <w:bCs/>
          <w:color w:val="14213D"/>
          <w:sz w:val="22"/>
          <w:szCs w:val="22"/>
        </w:rPr>
        <w:t xml:space="preserve">Artículo 82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18.083 de 27/12/2006 artículo </w:t>
      </w:r>
      <w:hyperlink w:history="1" r:id="rIdtox8ai9lgpjtcmezttyb2">
        <w:r>
          <w:rPr>
            <w:rStyle w:val="Hyperlink"/>
            <w:rFonts w:ascii="Arial" w:cs="Arial" w:eastAsia="Arial" w:hAnsi="Arial"/>
            <w:sz w:val="17"/>
            <w:szCs w:val="17"/>
          </w:rPr>
          <w:t xml:space="preserve">110</w:t>
        </w:r>
      </w:hyperlink>
      <w:r>
        <w:rPr>
          <w:rFonts w:ascii="Arial" w:cs="Arial" w:eastAsia="Arial" w:hAnsi="Arial"/>
          <w:color w:val="555555"/>
          <w:sz w:val="17"/>
          <w:szCs w:val="17"/>
        </w:rPr>
        <w:t xml:space="preserve">.
Este artículo dio nueva redacción a: T.O. 1996 (DGI) de 28/08/1996 
artículo </w:t>
      </w:r>
      <w:hyperlink w:history="1" r:id="rIdi_hdxii8r_ywa-2egx1od">
        <w:r>
          <w:rPr>
            <w:rStyle w:val="Hyperlink"/>
            <w:rFonts w:ascii="Arial" w:cs="Arial" w:eastAsia="Arial" w:hAnsi="Arial"/>
            <w:sz w:val="17"/>
            <w:szCs w:val="17"/>
          </w:rPr>
          <w:t xml:space="preserve">110 - Título 3</w:t>
        </w:r>
      </w:hyperlink>
      <w:r>
        <w:rPr>
          <w:rFonts w:ascii="Arial" w:cs="Arial" w:eastAsia="Arial" w:hAnsi="Arial"/>
          <w:color w:val="555555"/>
          <w:sz w:val="17"/>
          <w:szCs w:val="17"/>
        </w:rPr>
        <w:t xml:space="preserve">.
Ver: Ley Nº 18.083 de 27/12/2006 artículo </w:t>
      </w:r>
      <w:hyperlink w:history="1" r:id="rIdeqot3nrpt3e0bqrqjrdqm">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83</w:t>
      </w:r>
    </w:p>
    <w:p>
      <w:pPr>
        <w:spacing w:after="120"/>
        <w:jc w:val="both"/>
      </w:pPr>
      <w:r>
        <w:rPr>
          <w:sz w:val="22"/>
          <w:szCs w:val="22"/>
        </w:rPr>
        <w:t xml:space="preserve">Las Administradoras deberán invertir los recursos del Fondo de Ahorro Previsional con arreglo al siguiente criterio:</w:t>
      </w:r>
    </w:p>
    <w:p>
      <w:pPr>
        <w:spacing w:after="120"/>
        <w:jc w:val="both"/>
      </w:pPr>
      <w:r>
        <w:rPr>
          <w:sz w:val="22"/>
          <w:szCs w:val="22"/>
        </w:rPr>
        <w:t xml:space="preserve">Los valores emitidos a plazos inferiores a 360 días no podrán representar más del 5% (cinco por ciento) del total del Fondo. La suma de los referidos valores y las disponibilidades transitorias no podrán exceder del 10% (diez por ciento) del total del Fondo.</w:t>
      </w:r>
    </w:p>
    <w:p>
      <w:pPr>
        <w:spacing w:after="120"/>
        <w:jc w:val="both"/>
      </w:pPr>
      <w:r>
        <w:rPr>
          <w:sz w:val="22"/>
          <w:szCs w:val="22"/>
        </w:rPr>
        <w:t xml:space="preserve">El Poder Ejecutivo establecerá los plazos y la gradualidad para la aplicación de esta norma.</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de Reactivación Económica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myl6cbpmdkd1mbgn_bmi" Type="http://schemas.openxmlformats.org/officeDocument/2006/relationships/hyperlink" Target="https://www.impo.com.uy/bases/leyes/17555-2002/9" TargetMode="External"/><Relationship Id="rIdkety-_rhzcwwmxsqkyi3h" Type="http://schemas.openxmlformats.org/officeDocument/2006/relationships/hyperlink" Target="https://www.impo.com.uy/bases/leyes/17555-2002/9" TargetMode="External"/><Relationship Id="rIdh5g3q_hhl5tpu0djfjie1" Type="http://schemas.openxmlformats.org/officeDocument/2006/relationships/hyperlink" Target="https://www.impo.com.uy/bases/leyes/17555-2002/9" TargetMode="External"/><Relationship Id="rIdr64ohudinuaeyrkbjujbz" Type="http://schemas.openxmlformats.org/officeDocument/2006/relationships/hyperlink" Target="https://www.impo.com.uy/bases/leyes/17555-2002/8" TargetMode="External"/><Relationship Id="rIdrc36g1tovgbz5low9be4u" Type="http://schemas.openxmlformats.org/officeDocument/2006/relationships/hyperlink" Target="https://www.impo.com.uy/bases/leyes/17555-2002/9" TargetMode="External"/><Relationship Id="rId4lnvpckn7cmwjzdodgtzs" Type="http://schemas.openxmlformats.org/officeDocument/2006/relationships/hyperlink" Target="https://www.impo.com.uy/bases/leyes/17555-2002/8" TargetMode="External"/><Relationship Id="rIduc2rl01mnwnsn_tsrg2sa" Type="http://schemas.openxmlformats.org/officeDocument/2006/relationships/hyperlink" Target="https://www.impo.com.uy/bases/leyes/17555-2002/9" TargetMode="External"/><Relationship Id="rId5p9icuaqe6jmurghazfbj" Type="http://schemas.openxmlformats.org/officeDocument/2006/relationships/hyperlink" Target="https://www.impo.com.uy/bases/leyes/17555-2002/9" TargetMode="External"/><Relationship Id="rIdttkiovvhyxou9ufhekbzd" Type="http://schemas.openxmlformats.org/officeDocument/2006/relationships/hyperlink" Target="https://www.impo.com.uy/bases/leyes/17555-2002/9" TargetMode="External"/><Relationship Id="rIdeor93t10qy0laa7gl_hlx" Type="http://schemas.openxmlformats.org/officeDocument/2006/relationships/hyperlink" Target="https://www.impo.com.uy/bases/leyes/17555-2002/9" TargetMode="External"/><Relationship Id="rIdbas1yp59mgzpmgabsedmp" Type="http://schemas.openxmlformats.org/officeDocument/2006/relationships/hyperlink" Target="https://www.impo.com.uy/bases/decretos/370-2002" TargetMode="External"/><Relationship Id="rIdsxq-ynxmctriahvpn2az-" Type="http://schemas.openxmlformats.org/officeDocument/2006/relationships/hyperlink" Target="https://www.impo.com.uy/bases/leyes/17555-2002/17" TargetMode="External"/><Relationship Id="rId2q_gwfeb3wepumtbl3yc6" Type="http://schemas.openxmlformats.org/officeDocument/2006/relationships/hyperlink" Target="https://www.impo.com.uy/bases/decretos/370-2002" TargetMode="External"/><Relationship Id="rId58ncvr_1wmmjrbb1n2paq" Type="http://schemas.openxmlformats.org/officeDocument/2006/relationships/hyperlink" Target="https://www.impo.com.uy/bases/leyes/17555-2002/13" TargetMode="External"/><Relationship Id="rIdoyuawhykcrnxpns0gxkiw" Type="http://schemas.openxmlformats.org/officeDocument/2006/relationships/hyperlink" Target="https://www.impo.com.uy/bases/leyes/17555-2002/17" TargetMode="External"/><Relationship Id="rIdrihw9zfiz4pvskhi-bk4t" Type="http://schemas.openxmlformats.org/officeDocument/2006/relationships/hyperlink" Target="https://www.impo.com.uy/bases/decretos/370-2002" TargetMode="External"/><Relationship Id="rIdcdxuvy6pk9_8kdfpt-cxq" Type="http://schemas.openxmlformats.org/officeDocument/2006/relationships/hyperlink" Target="https://www.impo.com.uy/bases/leyes/17555-2002/14" TargetMode="External"/><Relationship Id="rIdjfearzvopmu4glakxyqk6" Type="http://schemas.openxmlformats.org/officeDocument/2006/relationships/hyperlink" Target="https://www.impo.com.uy/bases/decretos/370-2002" TargetMode="External"/><Relationship Id="rId-3yve5rovamqrlae_20mv" Type="http://schemas.openxmlformats.org/officeDocument/2006/relationships/hyperlink" Target="https://www.impo.com.uy/bases/decretos/370-2002" TargetMode="External"/><Relationship Id="rId8k-isdfcy6w4lwvzwttoz" Type="http://schemas.openxmlformats.org/officeDocument/2006/relationships/hyperlink" Target="https://www.impo.com.uy/bases/decretos/370-2002" TargetMode="External"/><Relationship Id="rIdlhxg54gyjiqsvf9omvecv" Type="http://schemas.openxmlformats.org/officeDocument/2006/relationships/hyperlink" Target="https://www.impo.com.uy/bases/decretos/370-2002" TargetMode="External"/><Relationship Id="rIdr8cfcdj1a9f-xyqv5mioq" Type="http://schemas.openxmlformats.org/officeDocument/2006/relationships/hyperlink" Target="https://www.impo.com.uy/bases/decretos/15-2004" TargetMode="External"/><Relationship Id="rId6f_pqqldhg-xmwh_ubcca" Type="http://schemas.openxmlformats.org/officeDocument/2006/relationships/hyperlink" Target="https://www.impo.com.uy/bases/decretos/379-2002/1" TargetMode="External"/><Relationship Id="rId6dd3y0syd6galunk7mqio" Type="http://schemas.openxmlformats.org/officeDocument/2006/relationships/hyperlink" Target="https://www.impo.com.uy/bases/decretos/379-2002/2" TargetMode="External"/><Relationship Id="rIdj3rqsyifu9wlqycne9tdn" Type="http://schemas.openxmlformats.org/officeDocument/2006/relationships/hyperlink" Target="https://www.impo.com.uy/bases/decretos/379-2002/3" TargetMode="External"/><Relationship Id="rIdogeyqjb0uhfqdh62uw35z" Type="http://schemas.openxmlformats.org/officeDocument/2006/relationships/hyperlink" Target="https://www.impo.com.uy/bases/decretos/379-2002/4" TargetMode="External"/><Relationship Id="rIdetoi5gaqomu0y7pxbishs" Type="http://schemas.openxmlformats.org/officeDocument/2006/relationships/hyperlink" Target="https://www.impo.com.uy/bases/leyes/19996-2021/2" TargetMode="External"/><Relationship Id="rIdkbhdzds4h1_yhissu9djn" Type="http://schemas.openxmlformats.org/officeDocument/2006/relationships/hyperlink" Target="https://www.impo.com.uy/bases/leyes/19996-2021/365" TargetMode="External"/><Relationship Id="rId2j-j4cmc2h5fyzfzksswb" Type="http://schemas.openxmlformats.org/officeDocument/2006/relationships/hyperlink" Target="https://www.impo.com.uy/bases/decretos/442-2002" TargetMode="External"/><Relationship Id="rIdlqo83wuf-sroinduezxwc" Type="http://schemas.openxmlformats.org/officeDocument/2006/relationships/hyperlink" Target="https://www.impo.com.uy/bases/leyes/17555-2002/20" TargetMode="External"/><Relationship Id="rIdpsoqutbsoxjnh1bnb8-jc" Type="http://schemas.openxmlformats.org/officeDocument/2006/relationships/hyperlink" Target="https://www.impo.com.uy/bases/decretos/442-2002" TargetMode="External"/><Relationship Id="rIdggo9bblv-dx4lqrnrdpnu" Type="http://schemas.openxmlformats.org/officeDocument/2006/relationships/hyperlink" Target="https://www.impo.com.uy/bases/decretos/376-2002" TargetMode="External"/><Relationship Id="rIdx282rhl33xizntohiawll" Type="http://schemas.openxmlformats.org/officeDocument/2006/relationships/hyperlink" Target="https://www.impo.com.uy/bases/leyes/17555-2002/24" TargetMode="External"/><Relationship Id="rIdd2dtvxirhhdjawnxzkw0z" Type="http://schemas.openxmlformats.org/officeDocument/2006/relationships/hyperlink" Target="https://www.impo.com.uy/bases/leyes/17555-2002/78" TargetMode="External"/><Relationship Id="rIdm_-wl3l8oiqcd3glr4gen" Type="http://schemas.openxmlformats.org/officeDocument/2006/relationships/hyperlink" Target="https://www.impo.com.uy/bases/decretos/376-2002" TargetMode="External"/><Relationship Id="rIdpun0opiabcwemfczdbnlx" Type="http://schemas.openxmlformats.org/officeDocument/2006/relationships/hyperlink" Target="https://www.impo.com.uy/bases/leyes/17555-2002/24" TargetMode="External"/><Relationship Id="rIdmowu21anntx-ph7j_6mgi" Type="http://schemas.openxmlformats.org/officeDocument/2006/relationships/hyperlink" Target="https://www.impo.com.uy/bases/decretos/376-2002" TargetMode="External"/><Relationship Id="rIdvq_3o5-8qph_pkk3xdm_l" Type="http://schemas.openxmlformats.org/officeDocument/2006/relationships/hyperlink" Target="https://www.impo.com.uy/bases/leyes/17555-2002/24" TargetMode="External"/><Relationship Id="rIdlew1vhqy8usomcyryckxm" Type="http://schemas.openxmlformats.org/officeDocument/2006/relationships/hyperlink" Target="https://www.impo.com.uy/bases/decretos/379-2002/5" TargetMode="External"/><Relationship Id="rIdvu2yq1ru-ldib7n3m1zyn" Type="http://schemas.openxmlformats.org/officeDocument/2006/relationships/hyperlink" Target="https://www.impo.com.uy/bases/leyes/17555-2002/26" TargetMode="External"/><Relationship Id="rId2octq4nwwi8cyloz2u4rp" Type="http://schemas.openxmlformats.org/officeDocument/2006/relationships/hyperlink" Target="https://www.impo.com.uy/bases/leyes/17555-2002/27" TargetMode="External"/><Relationship Id="rId_9y3gdbpxrfsvbnpjjk-v" Type="http://schemas.openxmlformats.org/officeDocument/2006/relationships/hyperlink" Target="https://www.impo.com.uy/bases/leyes/17555-2002/27" TargetMode="External"/><Relationship Id="rIdr5v-jc9w9k1hxc3dmennm" Type="http://schemas.openxmlformats.org/officeDocument/2006/relationships/hyperlink" Target="https://www.impo.com.uy/bases/decretos/383-2002" TargetMode="External"/><Relationship Id="rIdq6rls4dwleos42kglomv0" Type="http://schemas.openxmlformats.org/officeDocument/2006/relationships/hyperlink" Target="https://www.impo.com.uy/bases/leyes/17555-2002/29" TargetMode="External"/><Relationship Id="rIdrha2vroowukhhk3p73xdf" Type="http://schemas.openxmlformats.org/officeDocument/2006/relationships/hyperlink" Target="https://www.impo.com.uy/bases/leyes/17555-2002/32" TargetMode="External"/><Relationship Id="rIdyornuolw2-2w81i0rirlw" Type="http://schemas.openxmlformats.org/officeDocument/2006/relationships/hyperlink" Target="https://www.impo.com.uy/bases/leyes/17555-2002/33" TargetMode="External"/><Relationship Id="rIdo-whgmjx9f1kjzyipvkul" Type="http://schemas.openxmlformats.org/officeDocument/2006/relationships/hyperlink" Target="https://www.impo.com.uy/bases/decretos/383-2002" TargetMode="External"/><Relationship Id="rIds0hwotxzhgyagbham2dbv" Type="http://schemas.openxmlformats.org/officeDocument/2006/relationships/hyperlink" Target="https://www.impo.com.uy/bases/leyes/17555-2002/31" TargetMode="External"/><Relationship Id="rIdepo3hum33vkuzbwjczd7b" Type="http://schemas.openxmlformats.org/officeDocument/2006/relationships/hyperlink" Target="https://www.impo.com.uy/bases/decretos/383-2002" TargetMode="External"/><Relationship Id="rIdffp-4xwtbxtuppxip9smk" Type="http://schemas.openxmlformats.org/officeDocument/2006/relationships/hyperlink" Target="https://www.impo.com.uy/bases/leyes/17555-2002/31" TargetMode="External"/><Relationship Id="rIdgvlx8f-fzvlrjvi7b1vy1" Type="http://schemas.openxmlformats.org/officeDocument/2006/relationships/hyperlink" Target="https://www.impo.com.uy/bases/decretos/383-2002" TargetMode="External"/><Relationship Id="rIdm9pe5or1updb27libu9cy" Type="http://schemas.openxmlformats.org/officeDocument/2006/relationships/hyperlink" Target="https://www.impo.com.uy/bases/decretos/383-2002" TargetMode="External"/><Relationship Id="rIdzsc87eps3b9g9vqdmfnci" Type="http://schemas.openxmlformats.org/officeDocument/2006/relationships/hyperlink" Target="https://www.impo.com.uy/bases/decretos/383-2002" TargetMode="External"/><Relationship Id="rIdixke0iun9vxznw3gozz1g" Type="http://schemas.openxmlformats.org/officeDocument/2006/relationships/hyperlink" Target="https://www.impo.com.uy/bases/decretos/457-2002" TargetMode="External"/><Relationship Id="rId1oxfj0w1lu_nk9ztbnf-d" Type="http://schemas.openxmlformats.org/officeDocument/2006/relationships/hyperlink" Target="https://www.impo.com.uy/bases/leyes/17555-2002/35" TargetMode="External"/><Relationship Id="rIdnrq54mii4ojdoeqwgitw7" Type="http://schemas.openxmlformats.org/officeDocument/2006/relationships/hyperlink" Target="https://www.impo.com.uy/bases/decretos/457-2002" TargetMode="External"/><Relationship Id="rId2q_4-hoxmss7lwgsktuyg" Type="http://schemas.openxmlformats.org/officeDocument/2006/relationships/hyperlink" Target="https://www.impo.com.uy/bases/leyes/17555-2002/37" TargetMode="External"/><Relationship Id="rId62ffvj0dafizt4dbysmi3" Type="http://schemas.openxmlformats.org/officeDocument/2006/relationships/hyperlink" Target="https://www.impo.com.uy/bases/decretos/54-2003" TargetMode="External"/><Relationship Id="rId2psyhc6ujarh7luxersmp" Type="http://schemas.openxmlformats.org/officeDocument/2006/relationships/hyperlink" Target="https://www.impo.com.uy/bases/leyes/17555-2002/44" TargetMode="External"/><Relationship Id="rIdo0xzhex3frfgk7euw_fav" Type="http://schemas.openxmlformats.org/officeDocument/2006/relationships/hyperlink" Target="https://www.impo.com.uy/bases/leyes/17555-2002/47" TargetMode="External"/><Relationship Id="rIdy-teis_z6mao8pbl_f9hd" Type="http://schemas.openxmlformats.org/officeDocument/2006/relationships/hyperlink" Target="https://www.impo.com.uy/bases/decretos/54-2003" TargetMode="External"/><Relationship Id="rIdk52zmv__z42wbdlptdljh" Type="http://schemas.openxmlformats.org/officeDocument/2006/relationships/hyperlink" Target="https://www.impo.com.uy/bases/leyes/17555-2002/47" TargetMode="External"/><Relationship Id="rId86owtd_vybzmomwfaxhdx" Type="http://schemas.openxmlformats.org/officeDocument/2006/relationships/hyperlink" Target="https://www.impo.com.uy/bases/decretos/54-2003" TargetMode="External"/><Relationship Id="rIdpfhkmhtjj2w3cizxfl7vv" Type="http://schemas.openxmlformats.org/officeDocument/2006/relationships/hyperlink" Target="https://www.impo.com.uy/bases/leyes/17555-2002/47" TargetMode="External"/><Relationship Id="rIdllpj7q7frlwdm3tiqsv1p" Type="http://schemas.openxmlformats.org/officeDocument/2006/relationships/hyperlink" Target="https://www.impo.com.uy/bases/decretos/32-2014" TargetMode="External"/><Relationship Id="rIdl50fybwbair27p8ts0net" Type="http://schemas.openxmlformats.org/officeDocument/2006/relationships/hyperlink" Target="https://www.impo.com.uy/bases/decretos/54-2003" TargetMode="External"/><Relationship Id="rIdwnwsojy3v1ykd7gir3wng" Type="http://schemas.openxmlformats.org/officeDocument/2006/relationships/hyperlink" Target="https://www.impo.com.uy/bases/leyes/17555-2002/47" TargetMode="External"/><Relationship Id="rIda12bkfjy1bjpmlbm5xvsc" Type="http://schemas.openxmlformats.org/officeDocument/2006/relationships/hyperlink" Target="https://www.impo.com.uy/bases/decretos/32-2014" TargetMode="External"/><Relationship Id="rIdhoxur4dngnsiq0nl5akit" Type="http://schemas.openxmlformats.org/officeDocument/2006/relationships/hyperlink" Target="https://www.impo.com.uy/bases/decretos/54-2003" TargetMode="External"/><Relationship Id="rId4fastzphvdmoywf9okl1l" Type="http://schemas.openxmlformats.org/officeDocument/2006/relationships/hyperlink" Target="https://www.impo.com.uy/bases/leyes/17555-2002/45" TargetMode="External"/><Relationship Id="rIdcdh3s7ayi3ineuu6ls087" Type="http://schemas.openxmlformats.org/officeDocument/2006/relationships/hyperlink" Target="https://www.impo.com.uy/bases/leyes/17555-2002/47" TargetMode="External"/><Relationship Id="rIddournhp5pvpa55sjdcarb" Type="http://schemas.openxmlformats.org/officeDocument/2006/relationships/hyperlink" Target="https://www.impo.com.uy/bases/decretos/32-2014" TargetMode="External"/><Relationship Id="rIdnf2-p6dt2dplffmsukpan" Type="http://schemas.openxmlformats.org/officeDocument/2006/relationships/hyperlink" Target="https://www.impo.com.uy/bases/decretos/54-2003" TargetMode="External"/><Relationship Id="rIdgov9knqkgc4eewyx7zsvh" Type="http://schemas.openxmlformats.org/officeDocument/2006/relationships/hyperlink" Target="https://www.impo.com.uy/bases/leyes/17555-2002/47" TargetMode="External"/><Relationship Id="rIdiyev1956ano52xvzrsija" Type="http://schemas.openxmlformats.org/officeDocument/2006/relationships/hyperlink" Target="https://www.impo.com.uy/bases/leyes/13892-1970/421" TargetMode="External"/><Relationship Id="rIdopu9j3uvwzmesddrjh4rx" Type="http://schemas.openxmlformats.org/officeDocument/2006/relationships/hyperlink" Target="https://www.impo.com.uy/bases/decretos/54-2003" TargetMode="External"/><Relationship Id="rIdnyvg8s-yanabf5mink7on" Type="http://schemas.openxmlformats.org/officeDocument/2006/relationships/hyperlink" Target="https://www.impo.com.uy/bases/decretos/54-2003" TargetMode="External"/><Relationship Id="rIdcpkr4cepkjmvxti1vsp24" Type="http://schemas.openxmlformats.org/officeDocument/2006/relationships/hyperlink" Target="https://www.impo.com.uy/bases/leyes/15852-1986/10" TargetMode="External"/><Relationship Id="rIdsk_sbphslkjgrthxxqfhb" Type="http://schemas.openxmlformats.org/officeDocument/2006/relationships/hyperlink" Target="https://www.impo.com.uy/bases/decretos/379-2002/6" TargetMode="External"/><Relationship Id="rIdur1wpz8lm3sdycivbf4ta" Type="http://schemas.openxmlformats.org/officeDocument/2006/relationships/hyperlink" Target="https://www.impo.com.uy/bases/decretos/379-2002/6" TargetMode="External"/><Relationship Id="rIdl2gjghfdr55obugm38lku" Type="http://schemas.openxmlformats.org/officeDocument/2006/relationships/hyperlink" Target="https://www.impo.com.uy/bases/leyes/16713-1995/167" TargetMode="External"/><Relationship Id="rIdqbsrchyf0ppmzgcxtn4la" Type="http://schemas.openxmlformats.org/officeDocument/2006/relationships/hyperlink" Target="https://www.impo.com.uy/bases/leyes/18840-2011/16" TargetMode="External"/><Relationship Id="rIdxhfyn4jmvjssg8ovcqhf2" Type="http://schemas.openxmlformats.org/officeDocument/2006/relationships/hyperlink" Target="https://www.impo.com.uy/bases/leyes-originales/17555-2002/61" TargetMode="External"/><Relationship Id="rIdyiemgvqkdr9xxozoiu61r" Type="http://schemas.openxmlformats.org/officeDocument/2006/relationships/hyperlink" Target="https://www.impo.com.uy/bases/leyes/17678-2003/10" TargetMode="External"/><Relationship Id="rIdscavlm5oitqpwd8pame_w" Type="http://schemas.openxmlformats.org/officeDocument/2006/relationships/hyperlink" Target="https://www.impo.com.uy/bases/leyes-originales/17555-2002/66" TargetMode="External"/><Relationship Id="rIdhs1sojuti_ljsooo_u2lz" Type="http://schemas.openxmlformats.org/officeDocument/2006/relationships/hyperlink" Target="https://www.impo.com.uy/bases/leyes/17555-2002/68" TargetMode="External"/><Relationship Id="rIdo2ah9rxv4rkzo-a9s0d45" Type="http://schemas.openxmlformats.org/officeDocument/2006/relationships/hyperlink" Target="https://www.impo.com.uy/bases/leyes/17555-2002/69" TargetMode="External"/><Relationship Id="rIdrugtw5kve8opqdgudr8tp" Type="http://schemas.openxmlformats.org/officeDocument/2006/relationships/hyperlink" Target="https://www.impo.com.uy/bases/leyes/17596-2002/10" TargetMode="External"/><Relationship Id="rIdk0zrpovbu-gs1eszd14rt" Type="http://schemas.openxmlformats.org/officeDocument/2006/relationships/hyperlink" Target="https://www.impo.com.uy/bases/leyes-originales/17555-2002/70" TargetMode="External"/><Relationship Id="rIduwzdwos0s2guohpmlwl88" Type="http://schemas.openxmlformats.org/officeDocument/2006/relationships/hyperlink" Target="https://www.impo.com.uy/bases/leyes/16524-1994/5" TargetMode="External"/><Relationship Id="rIdripwzcgrbt7qma5a7zpxu" Type="http://schemas.openxmlformats.org/officeDocument/2006/relationships/hyperlink" Target="https://www.impo.com.uy/bases/decretos/458-2002" TargetMode="External"/><Relationship Id="rIdqvkios6d60sjalhx2s9wy" Type="http://schemas.openxmlformats.org/officeDocument/2006/relationships/hyperlink" Target="https://www.impo.com.uy/bases/decretos-ley/14219-1974/28" TargetMode="External"/><Relationship Id="rIdqzgtihj-syauohz5hdmpd" Type="http://schemas.openxmlformats.org/officeDocument/2006/relationships/hyperlink" Target="https://www.impo.com.uy/bases/codigo-civil/16603-1994/1782" TargetMode="External"/><Relationship Id="rIdsm1sd2r1j7oa1pkbq55vi" Type="http://schemas.openxmlformats.org/officeDocument/2006/relationships/hyperlink" Target="https://www.impo.com.uy/bases/decretos-ley/14384-1975/3" TargetMode="External"/><Relationship Id="rIdcu_rog2r5orw0mg4ikkg2" Type="http://schemas.openxmlformats.org/officeDocument/2006/relationships/hyperlink" Target="https://www.impo.com.uy/bases/leyes/15939-1987/9" TargetMode="External"/><Relationship Id="rIdl6cwgyj4lfziv4itngt3h" Type="http://schemas.openxmlformats.org/officeDocument/2006/relationships/hyperlink" Target="https://www.impo.com.uy/bases/leyes/19924-2020/253" TargetMode="External"/><Relationship Id="rIdw10eyga-tiin8pmlzzt2t" Type="http://schemas.openxmlformats.org/officeDocument/2006/relationships/hyperlink" Target="https://www.impo.com.uy/bases/leyes/19924-2020/3" TargetMode="External"/><Relationship Id="rId-hwqq11kazlmscgswrlyc" Type="http://schemas.openxmlformats.org/officeDocument/2006/relationships/hyperlink" Target="https://www.impo.com.uy/bases/decretos/375-2002" TargetMode="External"/><Relationship Id="rIdoyenycon50ja1zfqsojwp" Type="http://schemas.openxmlformats.org/officeDocument/2006/relationships/hyperlink" Target="https://www.impo.com.uy/bases/leyes-originales/17555-2002/80" TargetMode="External"/><Relationship Id="rIdtox8ai9lgpjtcmezttyb2" Type="http://schemas.openxmlformats.org/officeDocument/2006/relationships/hyperlink" Target="https://www.impo.com.uy/bases/leyes/18083-2006/110" TargetMode="External"/><Relationship Id="rIdi_hdxii8r_ywa-2egx1od" Type="http://schemas.openxmlformats.org/officeDocument/2006/relationships/hyperlink" Target="https://www.impo.com.uy/bases/todgi1996/338-1996/110_T3" TargetMode="External"/><Relationship Id="rIdeqot3nrpt3e0bqrqjrdqm" Type="http://schemas.openxmlformats.org/officeDocument/2006/relationships/hyperlink" Target="https://www.impo.com.uy/bases/leyes/18083-2006/112" TargetMode="External"/><Relationship Id="rId1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Reactivación Económica · texto consolidado vigente al 27 de octubre de 2026</dc:title>
  <dc:subject>Ley N.º 17.555 de 2002</dc:subject>
  <dc:creator>Texto Vigente</dc:creator>
  <dc:description>Ley N.º 17.555 de 2002. Fuente: IMPO (https://www.impo.com.uy/bases/leyes/17555-2002). https://www.textovigente.com/ley-17555/</dc:description>
  <cp:lastModifiedBy>Un-named</cp:lastModifiedBy>
  <cp:revision>1</cp:revision>
  <dcterms:created xsi:type="dcterms:W3CDTF">2026-10-27T16:00:30.327Z</dcterms:created>
  <dcterms:modified xsi:type="dcterms:W3CDTF">2026-10-27T16:00:30.327Z</dcterms:modified>
</cp:coreProperties>
</file>

<file path=docProps/custom.xml><?xml version="1.0" encoding="utf-8"?>
<Properties xmlns="http://schemas.openxmlformats.org/officeDocument/2006/custom-properties" xmlns:vt="http://schemas.openxmlformats.org/officeDocument/2006/docPropsVTypes"/>
</file>