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0"/>
      </w:pPr>
      <w:r>
        <w:rPr>
          <w:rFonts w:ascii="Arial" w:cs="Arial" w:eastAsia="Arial" w:hAnsi="Arial"/>
          <w:color w:val="14213D"/>
          <w:sz w:val="20"/>
          <w:szCs w:val="20"/>
        </w:rPr>
        <w:t xml:space="preserve">Texto Vigente · Legislación uruguaya consolidada</w:t>
      </w:r>
    </w:p>
    <w:p>
      <w:pPr>
        <w:spacing w:after="200"/>
      </w:pPr>
      <w:r>
        <w:rPr>
          <w:rFonts w:ascii="Arial" w:cs="Arial" w:eastAsia="Arial" w:hAnsi="Arial"/>
          <w:color w:val="555555"/>
          <w:sz w:val="22"/>
          <w:szCs w:val="22"/>
        </w:rPr>
        <w:t xml:space="preserve">Ley de la República Oriental del Uruguay</w:t>
      </w:r>
    </w:p>
    <w:p>
      <w:pPr>
        <w:pStyle w:val="Title"/>
      </w:pPr>
      <w:r>
        <w:rPr>
          <w:color w:val="14213D"/>
        </w:rPr>
        <w:t xml:space="preserve">Ley de Evaluación del Impacto Ambiental</w:t>
      </w:r>
    </w:p>
    <w:p>
      <w:pPr>
        <w:spacing w:after="300"/>
      </w:pPr>
      <w:r>
        <w:rPr>
          <w:rFonts w:ascii="Arial" w:cs="Arial" w:eastAsia="Arial" w:hAnsi="Arial"/>
          <w:sz w:val="24"/>
          <w:szCs w:val="24"/>
        </w:rPr>
        <w:t xml:space="preserve">Ley N.º 16.466 de 1994</w:t>
      </w:r>
    </w:p>
    <w:p>
      <w:pPr>
        <w:shd w:fill="FFF3DC" w:val="clear"/>
        <w:spacing w:after="400"/>
      </w:pPr>
      <w:r>
        <w:rPr>
          <w:rFonts w:ascii="Arial" w:cs="Arial" w:eastAsia="Arial" w:hAnsi="Arial"/>
          <w:b/>
          <w:bCs/>
          <w:color w:val="14213D"/>
          <w:sz w:val="24"/>
          <w:szCs w:val="24"/>
        </w:rPr>
        <w:t xml:space="preserve">Texto consolidado vigente al 27 de octubre de 2026</w:t>
      </w:r>
    </w:p>
    <w:p>
      <w:pPr>
        <w:spacing w:after="120"/>
      </w:pPr>
      <w:r>
        <w:rPr>
          <w:rFonts w:ascii="Arial" w:cs="Arial" w:eastAsia="Arial" w:hAnsi="Arial"/>
          <w:b/>
          <w:bCs/>
          <w:sz w:val="20"/>
          <w:szCs w:val="20"/>
        </w:rPr>
        <w:t xml:space="preserve">Última modificación incorporada: </w:t>
      </w:r>
      <w:r>
        <w:rPr>
          <w:rFonts w:ascii="Arial" w:cs="Arial" w:eastAsia="Arial" w:hAnsi="Arial"/>
          <w:sz w:val="20"/>
          <w:szCs w:val="20"/>
        </w:rPr>
        <w:t xml:space="preserve">Ley N.º 19.924 de 18/12/2020</w:t>
      </w:r>
    </w:p>
    <w:p>
      <w:pPr>
        <w:spacing w:after="120"/>
      </w:pPr>
      <w:r>
        <w:rPr>
          <w:rFonts w:ascii="Arial" w:cs="Arial" w:eastAsia="Arial" w:hAnsi="Arial"/>
          <w:b/>
          <w:bCs/>
          <w:sz w:val="20"/>
          <w:szCs w:val="20"/>
        </w:rPr>
        <w:t xml:space="preserve">Contenido: </w:t>
      </w:r>
      <w:r>
        <w:rPr>
          <w:rFonts w:ascii="Arial" w:cs="Arial" w:eastAsia="Arial" w:hAnsi="Arial"/>
          <w:sz w:val="20"/>
          <w:szCs w:val="20"/>
        </w:rPr>
        <w:t xml:space="preserve">18 artículos, 4 con notas de modificación.</w:t>
      </w:r>
    </w:p>
    <w:p>
      <w:pPr>
        <w:spacing w:after="120"/>
      </w:pPr>
      <w:r>
        <w:rPr>
          <w:rFonts w:ascii="Arial" w:cs="Arial" w:eastAsia="Arial" w:hAnsi="Arial"/>
          <w:b/>
          <w:bCs/>
          <w:sz w:val="20"/>
          <w:szCs w:val="20"/>
        </w:rPr>
        <w:t xml:space="preserve">Norma original: </w:t>
      </w:r>
      <w:r>
        <w:rPr>
          <w:rFonts w:ascii="Arial" w:cs="Arial" w:eastAsia="Arial" w:hAnsi="Arial"/>
          <w:sz w:val="20"/>
          <w:szCs w:val="20"/>
        </w:rPr>
        <w:t xml:space="preserve">promulgada el 19 de enero de 1994, publicada el 26 de enero de 1994.</w:t>
      </w:r>
    </w:p>
    <w:p>
      <w:pPr>
        <w:spacing w:after="120"/>
      </w:pPr>
      <w:r>
        <w:rPr>
          <w:rFonts w:ascii="Arial" w:cs="Arial" w:eastAsia="Arial" w:hAnsi="Arial"/>
          <w:b/>
          <w:bCs/>
          <w:sz w:val="20"/>
          <w:szCs w:val="20"/>
        </w:rPr>
        <w:t xml:space="preserve">Fuente: </w:t>
      </w:r>
      <w:r>
        <w:rPr>
          <w:rFonts w:ascii="Arial" w:cs="Arial" w:eastAsia="Arial" w:hAnsi="Arial"/>
          <w:sz w:val="20"/>
          <w:szCs w:val="20"/>
        </w:rPr>
        <w:t xml:space="preserve">https://www.impo.com.uy/bases/leyes/16466-1994</w:t>
      </w:r>
    </w:p>
    <w:p>
      <w:pPr>
        <w:spacing w:after="120"/>
      </w:pPr>
      <w:r>
        <w:rPr>
          <w:rFonts w:ascii="Arial" w:cs="Arial" w:eastAsia="Arial" w:hAnsi="Arial"/>
          <w:b/>
          <w:bCs/>
          <w:sz w:val="20"/>
          <w:szCs w:val="20"/>
        </w:rPr>
        <w:t xml:space="preserve">Esta edición: </w:t>
      </w:r>
      <w:r>
        <w:rPr>
          <w:rFonts w:ascii="Arial" w:cs="Arial" w:eastAsia="Arial" w:hAnsi="Arial"/>
          <w:sz w:val="20"/>
          <w:szCs w:val="20"/>
        </w:rPr>
        <w:t xml:space="preserve">https://www.textovigente.com/ley-16466/ · descargado el 27 de octubre de 2026</w:t>
      </w:r>
    </w:p>
    <w:p>
      <w:pPr>
        <w:spacing w:before="600"/>
      </w:pPr>
    </w:p>
    <w:p>
      <w:pPr>
        <w:spacing w:after="120" w:before="120"/>
        <w:jc w:val="both"/>
      </w:pPr>
      <w:r>
        <w:rPr>
          <w:rFonts w:ascii="Arial" w:cs="Arial" w:eastAsia="Arial" w:hAnsi="Arial"/>
          <w:b/>
          <w:bCs/>
          <w:color w:val="555555"/>
          <w:sz w:val="18"/>
          <w:szCs w:val="18"/>
        </w:rPr>
        <w:t xml:space="preserve">Fuente y licencia. </w:t>
      </w:r>
      <w:r>
        <w:rPr>
          <w:rFonts w:ascii="Arial" w:cs="Arial" w:eastAsia="Arial" w:hAnsi="Arial"/>
          <w:color w:val="555555"/>
          <w:sz w:val="18"/>
          <w:szCs w:val="18"/>
        </w:rPr>
        <w:t xml:space="preserve">Texto tomado del Banco de Datos Jurídico Normativo de IMPO (Dirección Nacional de Impresiones y Publicaciones Oficiales), publicado bajo Licencia de Datos Abiertos – Uruguay. Conjunto de datos: https://www.impo.com.uy/bases/leyes/16466-1994?json=true</w:t>
      </w:r>
    </w:p>
    <w:p>
      <w:pPr>
        <w:spacing w:after="120" w:before="120"/>
        <w:jc w:val="both"/>
      </w:pPr>
      <w:r>
        <w:rPr>
          <w:rFonts w:ascii="Arial" w:cs="Arial" w:eastAsia="Arial" w:hAnsi="Arial"/>
          <w:b/>
          <w:bCs/>
          <w:color w:val="555555"/>
          <w:sz w:val="18"/>
          <w:szCs w:val="18"/>
        </w:rPr>
        <w:t xml:space="preserve">Cambios introducidos por Texto Vigente. </w:t>
      </w:r>
      <w:r>
        <w:rPr>
          <w:rFonts w:ascii="Arial" w:cs="Arial" w:eastAsia="Arial" w:hAnsi="Arial"/>
          <w:color w:val="555555"/>
          <w:sz w:val="18"/>
          <w:szCs w:val="18"/>
        </w:rPr>
        <w:t xml:space="preserve">Se reagrupan los artículos bajo sus encabezados de estructura, se recomponen los párrafos que la fuente entrega cortados a ancho fijo y se normaliza la tipografía. No se altera el contenido: no se añaden, suprimen ni reescriben disposiciones.</w:t>
      </w:r>
    </w:p>
    <w:p>
      <w:pPr>
        <w:spacing w:after="120" w:before="120"/>
        <w:jc w:val="both"/>
      </w:pPr>
      <w:r>
        <w:rPr>
          <w:rFonts w:ascii="Arial" w:cs="Arial" w:eastAsia="Arial" w:hAnsi="Arial"/>
          <w:b/>
          <w:bCs/>
          <w:color w:val="555555"/>
          <w:sz w:val="18"/>
          <w:szCs w:val="18"/>
        </w:rPr>
        <w:t xml:space="preserve">No es texto oficial. </w:t>
      </w:r>
      <w:r>
        <w:rPr>
          <w:rFonts w:ascii="Arial" w:cs="Arial" w:eastAsia="Arial" w:hAnsi="Arial"/>
          <w:color w:val="555555"/>
          <w:sz w:val="18"/>
          <w:szCs w:val="18"/>
        </w:rPr>
        <w:t xml:space="preserve">Ante cualquier discrepancia prevalece el Diario Oficial. Esta edición no sustituye la consulta de la fuente oficial ni el asesoramiento profesional.</w:t>
      </w:r>
    </w:p>
    <w:p>
      <w:r>
        <w:br w:type="page"/>
      </w:r>
    </w:p>
    <w:p>
      <w:pPr>
        <w:sectPr>
          <w:pgSz w:w="11906" w:h="16838" w:orient="portrait"/>
          <w:pgMar w:top="1418" w:right="1418" w:bottom="1418" w:left="1418" w:header="708" w:footer="708" w:gutter="0"/>
          <w:pgNumType/>
          <w:docGrid w:linePitch="360"/>
        </w:sectPr>
      </w:pPr>
    </w:p>
    <w:p>
      <w:pPr>
        <w:pStyle w:val="Heading1"/>
      </w:pPr>
      <w:r>
        <w:t xml:space="preserve">Índice</w:t>
      </w:r>
    </w:p>
    <w:sdt>
      <w:sdtPr>
        <w:alias w:val="Índice"/>
      </w:sdtPr>
      <w:sdtContent>
        <w:p>
          <w:r>
            <w:fldChar w:fldCharType="begin" w:dirty="true"/>
            <w:instrText xml:space="preserve">TOC \h \o "1-4"</w:instrText>
            <w:fldChar w:fldCharType="separate"/>
          </w:r>
        </w:p>
        <w:p>
          <w:r>
            <w:fldChar w:fldCharType="end"/>
          </w:r>
        </w:p>
      </w:sdtContent>
    </w:sdt>
    <w:p>
      <w:r>
        <w:br w:type="page"/>
      </w:r>
    </w:p>
    <w:p>
      <w:pPr>
        <w:pStyle w:val="Articulo"/>
        <w:keepNext/>
        <w:spacing w:after="120" w:before="280"/>
      </w:pPr>
      <w:r>
        <w:rPr>
          <w:rFonts w:ascii="Arial" w:cs="Arial" w:eastAsia="Arial" w:hAnsi="Arial"/>
          <w:b/>
          <w:bCs/>
          <w:color w:val="14213D"/>
          <w:sz w:val="22"/>
          <w:szCs w:val="22"/>
        </w:rPr>
        <w:t xml:space="preserve">Artículo 1</w:t>
      </w:r>
    </w:p>
    <w:p>
      <w:pPr>
        <w:spacing w:after="120"/>
        <w:jc w:val="both"/>
      </w:pPr>
      <w:r>
        <w:rPr>
          <w:sz w:val="22"/>
          <w:szCs w:val="22"/>
        </w:rPr>
        <w:t xml:space="preserve">Declárase de interés general y nacional la protección del medio ambiente contra cualquier tipo de depredación, destrucción o contaminación, así como la prevención del impacto ambiental negativo o nocivo y, en su caso, la recomposición del medio ambiente dañado por actividades humanas. (*)</w:t>
      </w:r>
    </w:p>
    <w:p>
      <w:pPr>
        <w:pStyle w:val="Articulo"/>
        <w:keepNext/>
        <w:spacing w:after="120" w:before="280"/>
      </w:pPr>
      <w:r>
        <w:rPr>
          <w:rFonts w:ascii="Arial" w:cs="Arial" w:eastAsia="Arial" w:hAnsi="Arial"/>
          <w:b/>
          <w:bCs/>
          <w:color w:val="14213D"/>
          <w:sz w:val="22"/>
          <w:szCs w:val="22"/>
        </w:rPr>
        <w:t xml:space="preserve">Artículo 2</w:t>
      </w:r>
    </w:p>
    <w:p>
      <w:pPr>
        <w:spacing w:after="120"/>
        <w:jc w:val="both"/>
      </w:pPr>
      <w:r>
        <w:rPr>
          <w:sz w:val="22"/>
          <w:szCs w:val="22"/>
        </w:rPr>
        <w:t xml:space="preserve">A los efectos de la presente ley se considera impacto ambiental negativo o nocivo toda alteración de las propiedades físicas, químicas o biológicas del medio ambiente causada por cualquier forma de materia o energía resultante de las actividades humanas que directa o indirectamente perjudiquen o dañen:</w:t>
      </w:r>
    </w:p>
    <w:p>
      <w:pPr>
        <w:spacing w:after="120"/>
        <w:jc w:val="both"/>
      </w:pPr>
      <w:r>
        <w:rPr>
          <w:sz w:val="22"/>
          <w:szCs w:val="22"/>
        </w:rPr>
        <w:t xml:space="preserve">I. La salud, seguridad o calidad de vida de la población.</w:t>
      </w:r>
    </w:p>
    <w:p>
      <w:pPr>
        <w:spacing w:after="120"/>
        <w:jc w:val="both"/>
      </w:pPr>
      <w:r>
        <w:rPr>
          <w:sz w:val="22"/>
          <w:szCs w:val="22"/>
        </w:rPr>
        <w:t xml:space="preserve">II. Las condiciones estéticas, culturales o sanitarias del medio.</w:t>
      </w:r>
    </w:p>
    <w:p>
      <w:pPr>
        <w:spacing w:after="120"/>
        <w:jc w:val="both"/>
      </w:pPr>
      <w:r>
        <w:rPr>
          <w:sz w:val="22"/>
          <w:szCs w:val="22"/>
        </w:rPr>
        <w:t xml:space="preserve">III. La configuración, calidad y diversidad de los recursos naturales.</w:t>
      </w:r>
    </w:p>
    <w:p>
      <w:pPr>
        <w:pStyle w:val="Articulo"/>
        <w:keepNext/>
        <w:spacing w:after="120" w:before="280"/>
      </w:pPr>
      <w:r>
        <w:rPr>
          <w:rFonts w:ascii="Arial" w:cs="Arial" w:eastAsia="Arial" w:hAnsi="Arial"/>
          <w:b/>
          <w:bCs/>
          <w:color w:val="14213D"/>
          <w:sz w:val="22"/>
          <w:szCs w:val="22"/>
        </w:rPr>
        <w:t xml:space="preserve">Artículo 3</w:t>
      </w:r>
    </w:p>
    <w:p>
      <w:pPr>
        <w:spacing w:after="120"/>
        <w:jc w:val="both"/>
      </w:pPr>
      <w:r>
        <w:rPr>
          <w:sz w:val="22"/>
          <w:szCs w:val="22"/>
        </w:rPr>
        <w:t xml:space="preserve">Es deber fundamental de toda persona, física o jurídica, abstenerse de todo acto que cause impacto ambiental que se traduzca en depredación, destrucción o contaminación graves del medio ambiente.</w:t>
      </w:r>
    </w:p>
    <w:p>
      <w:pPr>
        <w:pStyle w:val="Articulo"/>
        <w:keepNext/>
        <w:spacing w:after="120" w:before="280"/>
      </w:pPr>
      <w:r>
        <w:rPr>
          <w:rFonts w:ascii="Arial" w:cs="Arial" w:eastAsia="Arial" w:hAnsi="Arial"/>
          <w:b/>
          <w:bCs/>
          <w:color w:val="14213D"/>
          <w:sz w:val="22"/>
          <w:szCs w:val="22"/>
        </w:rPr>
        <w:t xml:space="preserve">Artículo 4</w:t>
      </w:r>
    </w:p>
    <w:p>
      <w:pPr>
        <w:spacing w:after="120"/>
        <w:jc w:val="both"/>
      </w:pPr>
      <w:r>
        <w:rPr>
          <w:sz w:val="22"/>
          <w:szCs w:val="22"/>
        </w:rPr>
        <w:t xml:space="preserve">Sin perjuicio de las sanciones administrativas y penales que señale la ley, quien provoque depredación, destrucción o contaminación del medio ambiente en violación de lo establecido por los artículos de la presente ley, será civilmente responsable de todos los perjuicios que ocasione, debiendo hacerse cargo, además, si materialmente ello fuere posible, de las acciones conducentes a su recomposición.</w:t>
      </w:r>
    </w:p>
    <w:p>
      <w:pPr>
        <w:spacing w:after="120"/>
        <w:jc w:val="both"/>
      </w:pPr>
      <w:r>
        <w:rPr>
          <w:sz w:val="22"/>
          <w:szCs w:val="22"/>
        </w:rPr>
        <w:t xml:space="preserve">Cuando los perjuicios ocasionados por dicha violación sean irreversibles, el responsable de los mismos deberá hacerse cargo de todas las medidas tendientes a su máxima reducción o mitigación, sin perjuicio de las responsabilidades administrativas, civiles o penales que pudieran corresponder.</w:t>
      </w:r>
    </w:p>
    <w:p>
      <w:pPr>
        <w:pStyle w:val="Articulo"/>
        <w:keepNext/>
        <w:spacing w:after="120" w:before="280"/>
      </w:pPr>
      <w:r>
        <w:rPr>
          <w:rFonts w:ascii="Arial" w:cs="Arial" w:eastAsia="Arial" w:hAnsi="Arial"/>
          <w:b/>
          <w:bCs/>
          <w:color w:val="14213D"/>
          <w:sz w:val="22"/>
          <w:szCs w:val="22"/>
        </w:rPr>
        <w:t xml:space="preserve">Artículo 5</w:t>
      </w:r>
    </w:p>
    <w:p>
      <w:pPr>
        <w:spacing w:after="120"/>
        <w:jc w:val="both"/>
      </w:pPr>
      <w:r>
        <w:rPr>
          <w:sz w:val="22"/>
          <w:szCs w:val="22"/>
        </w:rPr>
        <w:t xml:space="preserve">Sin perjuicio de los demás cometidos y facultades que le asigna la presente ley u otras normas legales, el Ministerio de Vivienda, Ordenamiento Territorial y Medio Ambiente llevará un registro de los estudios de evaluación de impacto ambiental referidos a todas las actividades, construcciones u obras descriptos en el artículo siguiente, así como aquellos otros no mencionados específicamente y que, a juicio del citado Ministerio, puedan ser susceptibles de provocar un impacto ambiental de entidad.</w:t>
      </w:r>
    </w:p>
    <w:p>
      <w:pPr>
        <w:pStyle w:val="Articulo"/>
        <w:keepNext/>
        <w:spacing w:after="120" w:before="280"/>
      </w:pPr>
      <w:r>
        <w:rPr>
          <w:rFonts w:ascii="Arial" w:cs="Arial" w:eastAsia="Arial" w:hAnsi="Arial"/>
          <w:b/>
          <w:bCs/>
          <w:color w:val="14213D"/>
          <w:sz w:val="22"/>
          <w:szCs w:val="22"/>
        </w:rPr>
        <w:t xml:space="preserve">Artículo 6</w:t>
      </w:r>
    </w:p>
    <w:p>
      <w:pPr>
        <w:spacing w:after="120"/>
        <w:jc w:val="both"/>
      </w:pPr>
      <w:r>
        <w:rPr>
          <w:sz w:val="22"/>
          <w:szCs w:val="22"/>
        </w:rPr>
        <w:t xml:space="preserve">Quedan sometidas a la realización previa de un estudio de impacto ambiental las siguientes actividades, construcciones u obras, públicas o privadas:</w:t>
      </w:r>
    </w:p>
    <w:p>
      <w:pPr>
        <w:spacing w:after="120"/>
        <w:jc w:val="both"/>
      </w:pPr>
      <w:r>
        <w:rPr>
          <w:sz w:val="22"/>
          <w:szCs w:val="22"/>
        </w:rPr>
        <w:t xml:space="preserve">a. Carreteras, puentes, vías férreas y aeropuertos.</w:t>
      </w:r>
    </w:p>
    <w:p>
      <w:pPr>
        <w:spacing w:after="120"/>
        <w:jc w:val="both"/>
      </w:pPr>
      <w:r>
        <w:rPr>
          <w:sz w:val="22"/>
          <w:szCs w:val="22"/>
        </w:rPr>
        <w:t xml:space="preserve">b. Puertos, terminales de transvase de petróleo o productos químicos.</w:t>
      </w:r>
    </w:p>
    <w:p>
      <w:pPr>
        <w:spacing w:after="120"/>
        <w:jc w:val="both"/>
      </w:pPr>
      <w:r>
        <w:rPr>
          <w:sz w:val="22"/>
          <w:szCs w:val="22"/>
        </w:rPr>
        <w:t xml:space="preserve">c. Oleoductos, gasoductos y emisarios de líquidos residuales.</w:t>
      </w:r>
    </w:p>
    <w:p>
      <w:pPr>
        <w:spacing w:after="120"/>
        <w:jc w:val="both"/>
      </w:pPr>
      <w:r>
        <w:rPr>
          <w:sz w:val="22"/>
          <w:szCs w:val="22"/>
        </w:rPr>
        <w:t xml:space="preserve">d. Plantas de tratamiento, equipos de transporte y disposición final de residuos tóxicos o peligrosos.</w:t>
      </w:r>
    </w:p>
    <w:p>
      <w:pPr>
        <w:spacing w:after="120"/>
        <w:jc w:val="both"/>
      </w:pPr>
      <w:r>
        <w:rPr>
          <w:sz w:val="22"/>
          <w:szCs w:val="22"/>
        </w:rPr>
        <w:t xml:space="preserve">e. Extracción de minerales y de combustibles fósiles.</w:t>
      </w:r>
    </w:p>
    <w:p>
      <w:pPr>
        <w:spacing w:after="120"/>
        <w:jc w:val="both"/>
      </w:pPr>
      <w:r>
        <w:rPr>
          <w:sz w:val="22"/>
          <w:szCs w:val="22"/>
        </w:rPr>
        <w:t xml:space="preserve">f. Usinas de generación de electricidad de más de 10 MW, cualquiera sea su fuente primaria.</w:t>
      </w:r>
    </w:p>
    <w:p>
      <w:pPr>
        <w:spacing w:after="120"/>
        <w:jc w:val="both"/>
      </w:pPr>
      <w:r>
        <w:rPr>
          <w:sz w:val="22"/>
          <w:szCs w:val="22"/>
        </w:rPr>
        <w:t xml:space="preserve">g. Usinas de producción y transformación de energía nuclear.</w:t>
      </w:r>
    </w:p>
    <w:p>
      <w:pPr>
        <w:spacing w:after="120"/>
        <w:jc w:val="both"/>
      </w:pPr>
      <w:r>
        <w:rPr>
          <w:sz w:val="22"/>
          <w:szCs w:val="22"/>
        </w:rPr>
        <w:t xml:space="preserve">h. Líneas de transmisión de energía eléctrica de 150 KW o más.</w:t>
      </w:r>
    </w:p>
    <w:p>
      <w:pPr>
        <w:spacing w:after="120"/>
        <w:jc w:val="both"/>
      </w:pPr>
      <w:r>
        <w:rPr>
          <w:sz w:val="22"/>
          <w:szCs w:val="22"/>
        </w:rPr>
        <w:t xml:space="preserve">i. Obras para explotación o regulación de recursos hídricos.</w:t>
      </w:r>
    </w:p>
    <w:p>
      <w:pPr>
        <w:spacing w:after="120"/>
        <w:jc w:val="both"/>
      </w:pPr>
      <w:r>
        <w:rPr>
          <w:sz w:val="22"/>
          <w:szCs w:val="22"/>
        </w:rPr>
        <w:t xml:space="preserve">j. Complejos industriales, agroindustriales y turísticos, o unidades que, por su naturaleza y magnitud, puedan causar un impacto ambiental grave.</w:t>
      </w:r>
    </w:p>
    <w:p>
      <w:pPr>
        <w:spacing w:after="120"/>
        <w:jc w:val="both"/>
      </w:pPr>
      <w:r>
        <w:rPr>
          <w:sz w:val="22"/>
          <w:szCs w:val="22"/>
        </w:rPr>
        <w:t xml:space="preserve">k. Proyectos urbanísticos de más de cien hectáreas o en áreas menores consideradas de relevante interés ambiental a criterio del Poder Ejecutivo.</w:t>
      </w:r>
    </w:p>
    <w:p>
      <w:pPr>
        <w:spacing w:after="120"/>
        <w:jc w:val="both"/>
      </w:pPr>
      <w:r>
        <w:rPr>
          <w:sz w:val="22"/>
          <w:szCs w:val="22"/>
        </w:rPr>
        <w:t xml:space="preserve">l. Las que se proyectaren realizar en la faja de defensa costera definida por el artículo 153 del Código de Aguas.</w:t>
      </w:r>
    </w:p>
    <w:p>
      <w:pPr>
        <w:spacing w:after="120"/>
        <w:jc w:val="both"/>
      </w:pPr>
      <w:r>
        <w:rPr>
          <w:sz w:val="22"/>
          <w:szCs w:val="22"/>
        </w:rPr>
        <w:t xml:space="preserve">m. Aquellas otras actividades, construcciones u obras que, en forma análoga a las indicadas precedentemente, puedan causar impacto ambiental negativo o nocivo. El Poder Ejecutivo reglamentará esta disposición.</w:t>
      </w:r>
    </w:p>
    <w:p>
      <w:pPr>
        <w:spacing w:after="120"/>
        <w:jc w:val="both"/>
      </w:pPr>
      <w:r>
        <w:rPr>
          <w:sz w:val="22"/>
          <w:szCs w:val="22"/>
        </w:rPr>
        <w:t xml:space="preserve">n. El Poder Ejecutivo reglamentará los criterios mínimos de las actividades, construcciones u obras, a partir de los cuales se deberán realizar las evaluaciones de impacto ambiental.</w:t>
      </w:r>
    </w:p>
    <w:p>
      <w:pPr>
        <w:spacing w:after="120"/>
        <w:jc w:val="both"/>
      </w:pPr>
      <w:r>
        <w:rPr>
          <w:sz w:val="22"/>
          <w:szCs w:val="22"/>
        </w:rPr>
        <w:t xml:space="preserve">La enunciación precedente es sin perjuicio de lo establecido por otras normas legales específicas referidas a esta materia, que seguirán vigentes.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3w7ye_ifhzgyqxndkstpz">
        <w:r>
          <w:rPr>
            <w:rStyle w:val="Hyperlink"/>
            <w:rFonts w:ascii="Arial" w:cs="Arial" w:eastAsia="Arial" w:hAnsi="Arial"/>
            <w:sz w:val="17"/>
            <w:szCs w:val="17"/>
          </w:rPr>
          <w:t xml:space="preserve">Nº 349/005</w:t>
        </w:r>
      </w:hyperlink>
      <w:r>
        <w:rPr>
          <w:rFonts w:ascii="Arial" w:cs="Arial" w:eastAsia="Arial" w:hAnsi="Arial"/>
          <w:color w:val="555555"/>
          <w:sz w:val="17"/>
          <w:szCs w:val="17"/>
        </w:rPr>
        <w:t xml:space="preserve"> de 21/09/2005.
Ver en esta norma, artículos: </w:t>
      </w:r>
      <w:hyperlink w:history="1" r:id="rIdfvozqopktd-qm2x6aaue4">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 y </w:t>
      </w:r>
      <w:hyperlink w:history="1" r:id="rIdsswiszl05ocet8eudr37c">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w:t>
      </w:r>
    </w:p>
    <w:p>
      <w:pPr>
        <w:spacing w:after="120"/>
        <w:jc w:val="both"/>
      </w:pPr>
      <w:r>
        <w:rPr>
          <w:sz w:val="22"/>
          <w:szCs w:val="22"/>
        </w:rPr>
        <w:t xml:space="preserve">Para iniciar la ejecución de las actividades, construcciones u obras en las que estén involucradas cualesquiera de las situaciones descriptas en el artículo anterior, los interesados deberán obtener la autorización previa del Ministerio de Vivienda, Ordenamiento Territorial y Medio Ambiente el que requerirá el asesoramiento del o de los Ministerios o Gobiernos Departamentales que tuvieran que ver con dichas obras o trabajos.</w:t>
      </w:r>
    </w:p>
    <w:p>
      <w:pPr>
        <w:spacing w:after="120"/>
        <w:jc w:val="both"/>
      </w:pPr>
      <w:r>
        <w:rPr>
          <w:sz w:val="22"/>
          <w:szCs w:val="22"/>
        </w:rPr>
        <w:t xml:space="preserve">El Ministerio se expedirá dentro del plazo que fije la reglamentación.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rqjaljhawvo9ucnp5iyb4">
        <w:r>
          <w:rPr>
            <w:rStyle w:val="Hyperlink"/>
            <w:rFonts w:ascii="Arial" w:cs="Arial" w:eastAsia="Arial" w:hAnsi="Arial"/>
            <w:sz w:val="17"/>
            <w:szCs w:val="17"/>
          </w:rPr>
          <w:t xml:space="preserve">Nº 349/005</w:t>
        </w:r>
      </w:hyperlink>
      <w:r>
        <w:rPr>
          <w:rFonts w:ascii="Arial" w:cs="Arial" w:eastAsia="Arial" w:hAnsi="Arial"/>
          <w:color w:val="555555"/>
          <w:sz w:val="17"/>
          <w:szCs w:val="17"/>
        </w:rPr>
        <w:t xml:space="preserve"> de 21/09/2005.</w:t>
      </w:r>
    </w:p>
    <w:p>
      <w:pPr>
        <w:pStyle w:val="Articulo"/>
        <w:keepNext/>
        <w:spacing w:after="120" w:before="280"/>
      </w:pPr>
      <w:r>
        <w:rPr>
          <w:rFonts w:ascii="Arial" w:cs="Arial" w:eastAsia="Arial" w:hAnsi="Arial"/>
          <w:b/>
          <w:bCs/>
          <w:color w:val="14213D"/>
          <w:sz w:val="22"/>
          <w:szCs w:val="22"/>
        </w:rPr>
        <w:t xml:space="preserve">Artículo 8</w:t>
      </w:r>
    </w:p>
    <w:p>
      <w:pPr>
        <w:spacing w:after="120"/>
        <w:jc w:val="both"/>
      </w:pPr>
      <w:r>
        <w:rPr>
          <w:sz w:val="22"/>
          <w:szCs w:val="22"/>
        </w:rPr>
        <w:t xml:space="preserve">En cualquier momento durante la realización de una actividad, construcción u obra de las mencionadas en el artículo 6, el Poder Ejecutivo podrá disponer, por resolución fundada, la suspensión de las mismas.</w:t>
      </w:r>
    </w:p>
    <w:p>
      <w:pPr>
        <w:pStyle w:val="Articulo"/>
        <w:keepNext/>
        <w:spacing w:after="120" w:before="280"/>
      </w:pPr>
      <w:r>
        <w:rPr>
          <w:rFonts w:ascii="Arial" w:cs="Arial" w:eastAsia="Arial" w:hAnsi="Arial"/>
          <w:b/>
          <w:bCs/>
          <w:color w:val="14213D"/>
          <w:sz w:val="22"/>
          <w:szCs w:val="22"/>
        </w:rPr>
        <w:t xml:space="preserve">Artículo 9</w:t>
      </w:r>
    </w:p>
    <w:p>
      <w:pPr>
        <w:spacing w:after="120"/>
        <w:jc w:val="both"/>
      </w:pPr>
      <w:r>
        <w:rPr>
          <w:sz w:val="22"/>
          <w:szCs w:val="22"/>
        </w:rPr>
        <w:t xml:space="preserve">La solicitud de autorización respectiva deberá ser realizada por el titular del proyecto a ejecutar, quien será responsable de dar cumplimiento a las exigencias dispuestas por la presente ley. Deberá adjuntar los estudios completos del proyecto, junto con los elementos que estime convenientes para su mejor análisis.</w:t>
      </w:r>
    </w:p>
    <w:p>
      <w:pPr>
        <w:pStyle w:val="Articulo"/>
        <w:keepNext/>
        <w:spacing w:after="120" w:before="280"/>
      </w:pPr>
      <w:r>
        <w:rPr>
          <w:rFonts w:ascii="Arial" w:cs="Arial" w:eastAsia="Arial" w:hAnsi="Arial"/>
          <w:b/>
          <w:bCs/>
          <w:color w:val="14213D"/>
          <w:sz w:val="22"/>
          <w:szCs w:val="22"/>
        </w:rPr>
        <w:t xml:space="preserve">Artículo 10</w:t>
      </w:r>
    </w:p>
    <w:p>
      <w:pPr>
        <w:spacing w:after="120"/>
        <w:jc w:val="both"/>
      </w:pPr>
      <w:r>
        <w:rPr>
          <w:sz w:val="22"/>
          <w:szCs w:val="22"/>
        </w:rPr>
        <w:t xml:space="preserve">Los requisitos mínimos que deberá contener la solicitud de autorización serán los siguientes:</w:t>
      </w:r>
    </w:p>
    <w:p>
      <w:pPr>
        <w:spacing w:after="120"/>
        <w:ind w:left="567"/>
        <w:jc w:val="both"/>
      </w:pPr>
      <w:r>
        <w:rPr>
          <w:sz w:val="22"/>
          <w:szCs w:val="22"/>
        </w:rPr>
        <w:t xml:space="preserve">a) La identificación del o de los propietarios del predio donde se ejecutará el proyecto, la identificación precisa del o de los titulares del mismo y de los técnicos responsables en su elaboración y ejecución.</w:t>
      </w:r>
    </w:p>
    <w:p>
      <w:pPr>
        <w:spacing w:after="120"/>
        <w:ind w:left="567"/>
        <w:jc w:val="both"/>
      </w:pPr>
      <w:r>
        <w:rPr>
          <w:sz w:val="22"/>
          <w:szCs w:val="22"/>
        </w:rPr>
        <w:t xml:space="preserve">b) El proyecto suscrito por el o los técnicos designados, con la descripción detallada de su contenido, del espacio físico y entorno donde el mismo se emplazaría, junto con todos los detalles que posibiliten su consideración integral.</w:t>
      </w:r>
    </w:p>
    <w:p>
      <w:pPr>
        <w:spacing w:after="120"/>
        <w:ind w:left="567"/>
        <w:jc w:val="both"/>
      </w:pPr>
      <w:r>
        <w:rPr>
          <w:sz w:val="22"/>
          <w:szCs w:val="22"/>
        </w:rPr>
        <w:t xml:space="preserve">c) La evaluación del impacto ambiental suscrita por el o los técnicos intervinientes.</w:t>
      </w:r>
    </w:p>
    <w:p>
      <w:pPr>
        <w:spacing w:after="120"/>
        <w:ind w:left="567"/>
        <w:jc w:val="both"/>
      </w:pPr>
      <w:r>
        <w:rPr>
          <w:sz w:val="22"/>
          <w:szCs w:val="22"/>
        </w:rPr>
        <w:t xml:space="preserve">d) Un resumen del proyecto en términos fácilmente comprensibles que contenga las particularidades esenciales del mismo, así como los efectos que de su ejecución puedan derivarse.</w:t>
      </w:r>
    </w:p>
    <w:p>
      <w:pPr>
        <w:spacing w:after="120"/>
        <w:ind w:left="567"/>
        <w:jc w:val="both"/>
      </w:pPr>
      <w:r>
        <w:rPr>
          <w:sz w:val="22"/>
          <w:szCs w:val="22"/>
        </w:rPr>
        <w:t xml:space="preserve">e) Aquellos otros requisitos que pueda determinar la reglamentación.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ofqwgigajylepzqkbwn-o">
        <w:r>
          <w:rPr>
            <w:rStyle w:val="Hyperlink"/>
            <w:rFonts w:ascii="Arial" w:cs="Arial" w:eastAsia="Arial" w:hAnsi="Arial"/>
            <w:sz w:val="17"/>
            <w:szCs w:val="17"/>
          </w:rPr>
          <w:t xml:space="preserve">12</w:t>
        </w:r>
      </w:hyperlink>
      <w:r>
        <w:rPr>
          <w:rFonts w:ascii="Arial" w:cs="Arial" w:eastAsia="Arial" w:hAnsi="Arial"/>
          <w:color w:val="555555"/>
          <w:sz w:val="17"/>
          <w:szCs w:val="17"/>
        </w:rPr>
        <w:t xml:space="preserve"> y </w:t>
      </w:r>
      <w:hyperlink w:history="1" r:id="rIdsojv0kecovfoc1rab0qkb">
        <w:r>
          <w:rPr>
            <w:rStyle w:val="Hyperlink"/>
            <w:rFonts w:ascii="Arial" w:cs="Arial" w:eastAsia="Arial" w:hAnsi="Arial"/>
            <w:sz w:val="17"/>
            <w:szCs w:val="17"/>
          </w:rPr>
          <w:t xml:space="preserve">13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w:t>
      </w:r>
    </w:p>
    <w:p>
      <w:pPr>
        <w:spacing w:after="120"/>
        <w:jc w:val="both"/>
      </w:pPr>
      <w:r>
        <w:rPr>
          <w:sz w:val="22"/>
          <w:szCs w:val="22"/>
        </w:rPr>
        <w:t xml:space="preserve">Los titulares y sucesores a cualquier título, de derechos reales, posesión o tenencia de los bienes inmuebles afectados, de las actividades, construcciones u obras comprendidas en lo dispuesto por el artículo 6° de esta ley, y las que la reglamentación determine, así como los profesionales a cargo de su ejecución, dirección u operación, serán solidariamente responsables, administrativa y civilmente, por la realización de aquellas que no hubieren obtenido la autorización ambiental correspondiente, según lo previsto en la presente ley y su reglamentación así como por el apartamiento de las condiciones establecidas en dicha autorización o en los antecedentes que hayan dado mérito a su otorgamiento.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19.924 de 18/12/2020 artículo </w:t>
      </w:r>
      <w:hyperlink w:history="1" r:id="rId8cx5ezrvna5kbmdwkhcx1">
        <w:r>
          <w:rPr>
            <w:rStyle w:val="Hyperlink"/>
            <w:rFonts w:ascii="Arial" w:cs="Arial" w:eastAsia="Arial" w:hAnsi="Arial"/>
            <w:sz w:val="17"/>
            <w:szCs w:val="17"/>
          </w:rPr>
          <w:t xml:space="preserve">521</w:t>
        </w:r>
      </w:hyperlink>
      <w:r>
        <w:rPr>
          <w:rFonts w:ascii="Arial" w:cs="Arial" w:eastAsia="Arial" w:hAnsi="Arial"/>
          <w:color w:val="555555"/>
          <w:sz w:val="17"/>
          <w:szCs w:val="17"/>
        </w:rPr>
        <w:t xml:space="preserve">.
Ver vigencia:
 Ley Nº 19.924 de 18/12/2020 artículo </w:t>
      </w:r>
      <w:hyperlink w:history="1" r:id="rIdpwki_q_aqu-cezra_sz0x">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Ley Nº 19.670 de 15/10/2018 artículo </w:t>
      </w:r>
      <w:hyperlink w:history="1" r:id="rIdo5sj8vbldpvilpkmnqgjh">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Redacción dada anteriormente por: Ley Nº 19.670 de 15/10/2018 artículo 
</w:t>
      </w:r>
      <w:hyperlink w:history="1" r:id="rIdz99w_nx3jlbrbljoo-fhj">
        <w:r>
          <w:rPr>
            <w:rStyle w:val="Hyperlink"/>
            <w:rFonts w:ascii="Arial" w:cs="Arial" w:eastAsia="Arial" w:hAnsi="Arial"/>
            <w:sz w:val="17"/>
            <w:szCs w:val="17"/>
          </w:rPr>
          <w:t xml:space="preserve">213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19.670 de 15/10/2018 artículo </w:t>
      </w:r>
      <w:hyperlink w:history="1" r:id="rIds8us-5omhmay0iiyis5jp">
        <w:r>
          <w:rPr>
            <w:rStyle w:val="Hyperlink"/>
            <w:rFonts w:ascii="Arial" w:cs="Arial" w:eastAsia="Arial" w:hAnsi="Arial"/>
            <w:sz w:val="17"/>
            <w:szCs w:val="17"/>
          </w:rPr>
          <w:t xml:space="preserve">213</w:t>
        </w:r>
      </w:hyperlink>
      <w:r>
        <w:rPr>
          <w:rFonts w:ascii="Arial" w:cs="Arial" w:eastAsia="Arial" w:hAnsi="Arial"/>
          <w:color w:val="555555"/>
          <w:sz w:val="17"/>
          <w:szCs w:val="17"/>
        </w:rPr>
        <w:t xml:space="preserve">,
 Ley Nº 16.466 de 19/01/1994 artículo </w:t>
      </w:r>
      <w:hyperlink w:history="1" r:id="rIdcpdldimcjapo8qv3vwado">
        <w:r>
          <w:rPr>
            <w:rStyle w:val="Hyperlink"/>
            <w:rFonts w:ascii="Arial" w:cs="Arial" w:eastAsia="Arial" w:hAnsi="Arial"/>
            <w:sz w:val="17"/>
            <w:szCs w:val="17"/>
          </w:rPr>
          <w:t xml:space="preserve">11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w:t>
      </w:r>
    </w:p>
    <w:p>
      <w:pPr>
        <w:spacing w:after="120"/>
        <w:jc w:val="both"/>
      </w:pPr>
      <w:r>
        <w:rPr>
          <w:sz w:val="22"/>
          <w:szCs w:val="22"/>
        </w:rPr>
        <w:t xml:space="preserve">El estudio de evaluación de impacto ambiental requerido por la presente ley, deberá ser suscrito por los técnicos intervinientes, uno de los cuales deberá ser técnico profesional universitario con idoneidad en la materia, que será responsable por los resultados de los estudios presentados.</w:t>
      </w:r>
    </w:p>
    <w:p>
      <w:pPr>
        <w:spacing w:after="120"/>
        <w:jc w:val="both"/>
      </w:pPr>
      <w:r>
        <w:rPr>
          <w:sz w:val="22"/>
          <w:szCs w:val="22"/>
        </w:rPr>
        <w:t xml:space="preserve">No podrán intervenir ni suscribir estos estudios o evaluaciones de impacto ambiental a que se refiere el literal c) del artículo 10 de la presente ley los funcionarios del Ministerio de Vivienda, Ordenamiento Territorial y Medio Ambiente ni aquellos otros funcionarios públicos que disponga la reglamentación, por considerar que existe conflicto de intereses.</w:t>
      </w:r>
    </w:p>
    <w:p>
      <w:pPr>
        <w:pStyle w:val="Articulo"/>
        <w:keepNext/>
        <w:spacing w:after="120" w:before="280"/>
      </w:pPr>
      <w:r>
        <w:rPr>
          <w:rFonts w:ascii="Arial" w:cs="Arial" w:eastAsia="Arial" w:hAnsi="Arial"/>
          <w:b/>
          <w:bCs/>
          <w:color w:val="14213D"/>
          <w:sz w:val="22"/>
          <w:szCs w:val="22"/>
        </w:rPr>
        <w:t xml:space="preserve">Artículo 13</w:t>
      </w:r>
    </w:p>
    <w:p>
      <w:pPr>
        <w:spacing w:after="120"/>
        <w:jc w:val="both"/>
      </w:pPr>
      <w:r>
        <w:rPr>
          <w:sz w:val="22"/>
          <w:szCs w:val="22"/>
        </w:rPr>
        <w:t xml:space="preserve">El Ministerio de Vivienda, Ordenamiento Territorial y Medio Ambiente pondrá de manifiesto en sus oficinas el resumen del proyecto a que hace referencia el literal d) del artículo 10 de la presente ley, una vez que considere que el mismo corresponde al proyecto presentado. A tal fin, efectuará una comunicación mediante publicación en el Diario Oficial y en otro diario de circulación nacional, a partir de la cual correrá un plazo, que determinará la reglamentación, para que cualquier interesado pueda acceder a la vista del mismo y formular las apreciaciones que considere convenientes.</w:t>
      </w:r>
    </w:p>
    <w:p>
      <w:pPr>
        <w:pStyle w:val="Articulo"/>
        <w:keepNext/>
        <w:spacing w:after="120" w:before="280"/>
      </w:pPr>
      <w:r>
        <w:rPr>
          <w:rFonts w:ascii="Arial" w:cs="Arial" w:eastAsia="Arial" w:hAnsi="Arial"/>
          <w:b/>
          <w:bCs/>
          <w:color w:val="14213D"/>
          <w:sz w:val="22"/>
          <w:szCs w:val="22"/>
        </w:rPr>
        <w:t xml:space="preserve">Artículo 14</w:t>
      </w:r>
    </w:p>
    <w:p>
      <w:pPr>
        <w:spacing w:after="120"/>
        <w:jc w:val="both"/>
      </w:pPr>
      <w:r>
        <w:rPr>
          <w:sz w:val="22"/>
          <w:szCs w:val="22"/>
        </w:rPr>
        <w:t xml:space="preserve">El Ministerio de Vivienda, Ordenamiento Territorial y Medio Ambiente podrá disponer la realización de una audiencia pública, cuando considere que el proyecto implica repercusiones graves de orden cultural, social o ambiental, a cuyos efectos determinará la forma de su convocatoria, así como demás aspectos inherentes a su realización, y en la que podrá intervenir cualquier interesado. En todos los casos, la resolución final corresponderá al Poder Ejecutivo.</w:t>
      </w:r>
    </w:p>
    <w:p>
      <w:pPr>
        <w:pStyle w:val="Articulo"/>
        <w:keepNext/>
        <w:spacing w:after="120" w:before="280"/>
      </w:pPr>
      <w:r>
        <w:rPr>
          <w:rFonts w:ascii="Arial" w:cs="Arial" w:eastAsia="Arial" w:hAnsi="Arial"/>
          <w:b/>
          <w:bCs/>
          <w:color w:val="14213D"/>
          <w:sz w:val="22"/>
          <w:szCs w:val="22"/>
        </w:rPr>
        <w:t xml:space="preserve">Artículo 15</w:t>
      </w:r>
    </w:p>
    <w:p>
      <w:pPr>
        <w:spacing w:after="120"/>
        <w:jc w:val="both"/>
      </w:pPr>
      <w:r>
        <w:rPr>
          <w:sz w:val="22"/>
          <w:szCs w:val="22"/>
        </w:rPr>
        <w:t xml:space="preserve">Las informaciones que puedan configurar secreto industrial o comercial del responsable del proyecto serán mantenidas en reserva por la Administración.</w:t>
      </w:r>
    </w:p>
    <w:p>
      <w:pPr>
        <w:pStyle w:val="Articulo"/>
        <w:keepNext/>
        <w:spacing w:after="120" w:before="280"/>
      </w:pPr>
      <w:r>
        <w:rPr>
          <w:rFonts w:ascii="Arial" w:cs="Arial" w:eastAsia="Arial" w:hAnsi="Arial"/>
          <w:b/>
          <w:bCs/>
          <w:color w:val="14213D"/>
          <w:sz w:val="22"/>
          <w:szCs w:val="22"/>
        </w:rPr>
        <w:t xml:space="preserve">Artículo 16</w:t>
      </w:r>
    </w:p>
    <w:p>
      <w:pPr>
        <w:spacing w:after="120"/>
        <w:jc w:val="both"/>
      </w:pPr>
      <w:r>
        <w:rPr>
          <w:sz w:val="22"/>
          <w:szCs w:val="22"/>
        </w:rPr>
        <w:t xml:space="preserve">Si el Ministerio de Vivienda, Ordenamiento Territorial y Medio Ambiente considerare que el proyecto provoca un impacto ambiental negativo o nocivo superior a los mínimos admisibles, deberá negar la autorización.</w:t>
      </w:r>
    </w:p>
    <w:p>
      <w:pPr>
        <w:pStyle w:val="Articulo"/>
        <w:keepNext/>
        <w:spacing w:after="120" w:before="280"/>
      </w:pPr>
      <w:r>
        <w:rPr>
          <w:rFonts w:ascii="Arial" w:cs="Arial" w:eastAsia="Arial" w:hAnsi="Arial"/>
          <w:b/>
          <w:bCs/>
          <w:color w:val="14213D"/>
          <w:sz w:val="22"/>
          <w:szCs w:val="22"/>
        </w:rPr>
        <w:t xml:space="preserve">Artículo 17</w:t>
      </w:r>
    </w:p>
    <w:p>
      <w:pPr>
        <w:spacing w:after="120"/>
        <w:jc w:val="both"/>
      </w:pPr>
      <w:r>
        <w:rPr>
          <w:sz w:val="22"/>
          <w:szCs w:val="22"/>
        </w:rPr>
        <w:t xml:space="preserve">El Poder Ejecutivo podrá declarar objeto de estudio de impacto ambiental y disponer su realización por los responsables a aquellas industrias, obras o actividades, construcciones u obras existentes que produzcan alteraciones o emisiones contaminantes al medio ambiente, con la finalidad de aplicar en ellas las medidas paliativas de los efectos nocivos que pudieran ocasionar.</w:t>
      </w:r>
    </w:p>
    <w:p>
      <w:pPr>
        <w:pStyle w:val="Articulo"/>
        <w:keepNext/>
        <w:spacing w:after="120" w:before="280"/>
      </w:pPr>
      <w:r>
        <w:rPr>
          <w:rFonts w:ascii="Arial" w:cs="Arial" w:eastAsia="Arial" w:hAnsi="Arial"/>
          <w:b/>
          <w:bCs/>
          <w:color w:val="14213D"/>
          <w:sz w:val="22"/>
          <w:szCs w:val="22"/>
        </w:rPr>
        <w:t xml:space="preserve">Artículo 18</w:t>
      </w:r>
    </w:p>
    <w:p>
      <w:pPr>
        <w:spacing w:after="120"/>
        <w:jc w:val="both"/>
      </w:pPr>
      <w:r>
        <w:rPr>
          <w:sz w:val="22"/>
          <w:szCs w:val="22"/>
        </w:rPr>
        <w:t xml:space="preserve">El Poder Ejecutivo reglamentará la presente ley dentro de los ciento ochenta días siguientes a su promulgación. Dicha reglamentación deberá incluir especialmente los criterios a aplicar por el Ministerio de Vivienda, Ordenamiento Territorial y Medio Ambiente relativos a la procedencia de los estudios previos de evaluación de impacto ambiental y los elementos básicos que necesariamente deberán contener los mismos, su forma de presentación, la tramitación y los plazos correspondientes.</w:t>
      </w:r>
    </w:p>
    <w:sectPr>
      <w:footerReference w:type="default" r:id="rId7"/>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6"/>
        <w:szCs w:val="16"/>
      </w:rPr>
      <w:t xml:space="preserve">Ley de Evaluación del Impacto Ambiental · texto vigente al 27/10/2026 · www.textovigente.com · página </w:t>
    </w:r>
    <w:r>
      <w:rPr>
        <w:rFonts w:ascii="Arial" w:cs="Arial" w:eastAsia="Arial" w:hAnsi="Arial"/>
        <w:color w:val="55555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2"/>
        <w:szCs w:val="22"/>
      </w:rPr>
    </w:rPrDefault>
    <w:pPrDefault/>
  </w:docDefaults>
  <w:style w:type="paragraph" w:styleId="Title">
    <w:name w:val="Title"/>
    <w:basedOn w:val="Normal"/>
    <w:next w:val="Normal"/>
    <w:qFormat/>
    <w:pPr>
      <w:spacing w:after="200"/>
    </w:pPr>
    <w:rPr>
      <w:rFonts w:ascii="Arial" w:cs="Arial" w:eastAsia="Arial" w:hAnsi="Arial"/>
      <w:b/>
      <w:bCs/>
      <w:color w:val="14213D"/>
      <w:sz w:val="48"/>
      <w:szCs w:val="48"/>
    </w:rPr>
  </w:style>
  <w:style w:type="paragraph" w:styleId="Heading1">
    <w:name w:val="Heading 1"/>
    <w:basedOn w:val="Normal"/>
    <w:next w:val="Normal"/>
    <w:qFormat/>
    <w:pPr>
      <w:spacing w:after="200" w:before="480"/>
    </w:pPr>
    <w:rPr>
      <w:rFonts w:ascii="Arial" w:cs="Arial" w:eastAsia="Arial" w:hAnsi="Arial"/>
      <w:b/>
      <w:bCs/>
      <w:color w:val="14213D"/>
      <w:sz w:val="30"/>
      <w:szCs w:val="30"/>
    </w:rPr>
  </w:style>
  <w:style w:type="paragraph" w:styleId="Heading2">
    <w:name w:val="Heading 2"/>
    <w:basedOn w:val="Normal"/>
    <w:next w:val="Normal"/>
    <w:qFormat/>
    <w:pPr>
      <w:spacing w:after="160" w:before="360"/>
    </w:pPr>
    <w:rPr>
      <w:rFonts w:ascii="Arial" w:cs="Arial" w:eastAsia="Arial" w:hAnsi="Arial"/>
      <w:b/>
      <w:bCs/>
      <w:color w:val="14213D"/>
      <w:sz w:val="26"/>
      <w:szCs w:val="26"/>
    </w:rPr>
  </w:style>
  <w:style w:type="paragraph" w:styleId="Heading3">
    <w:name w:val="Heading 3"/>
    <w:basedOn w:val="Normal"/>
    <w:next w:val="Normal"/>
    <w:qFormat/>
    <w:pPr>
      <w:spacing w:after="120" w:before="280"/>
    </w:pPr>
    <w:rPr>
      <w:rFonts w:ascii="Arial" w:cs="Arial" w:eastAsia="Arial" w:hAnsi="Arial"/>
      <w:b/>
      <w:bCs/>
      <w:color w:val="14213D"/>
      <w:sz w:val="24"/>
      <w:szCs w:val="24"/>
    </w:rPr>
  </w:style>
  <w:style w:type="paragraph" w:styleId="Heading4">
    <w:name w:val="Heading 4"/>
    <w:basedOn w:val="Normal"/>
    <w:next w:val="Normal"/>
    <w:qFormat/>
    <w:pPr>
      <w:spacing w:after="120" w:before="240"/>
    </w:pPr>
    <w:rPr>
      <w:rFonts w:ascii="Arial" w:cs="Arial" w:eastAsia="Arial" w:hAnsi="Arial"/>
      <w:b/>
      <w:bCs/>
      <w:color w:val="555555"/>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Articulo">
    <w:name w:val="Artículo"/>
    <w:basedOn w:val="Normal"/>
    <w:next w:val="Normal"/>
    <w:qFormat/>
    <w:pPr>
      <w:keepNext/>
    </w:pPr>
    <w:rPr>
      <w:rFonts w:ascii="Arial" w:cs="Arial" w:eastAsia="Arial" w:hAnsi="Arial"/>
      <w:b/>
      <w:bCs/>
      <w:color w:val="14213D"/>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w7ye_ifhzgyqxndkstpz" Type="http://schemas.openxmlformats.org/officeDocument/2006/relationships/hyperlink" Target="https://www.impo.com.uy/bases/decretos/349-2005" TargetMode="External"/><Relationship Id="rIdfvozqopktd-qm2x6aaue4" Type="http://schemas.openxmlformats.org/officeDocument/2006/relationships/hyperlink" Target="https://www.impo.com.uy/bases/leyes/16466-1994/7" TargetMode="External"/><Relationship Id="rIdsswiszl05ocet8eudr37c" Type="http://schemas.openxmlformats.org/officeDocument/2006/relationships/hyperlink" Target="https://www.impo.com.uy/bases/leyes/16466-1994/8" TargetMode="External"/><Relationship Id="rIdrqjaljhawvo9ucnp5iyb4" Type="http://schemas.openxmlformats.org/officeDocument/2006/relationships/hyperlink" Target="https://www.impo.com.uy/bases/decretos/349-2005" TargetMode="External"/><Relationship Id="rIdofqwgigajylepzqkbwn-o" Type="http://schemas.openxmlformats.org/officeDocument/2006/relationships/hyperlink" Target="https://www.impo.com.uy/bases/leyes/16466-1994/12" TargetMode="External"/><Relationship Id="rIdsojv0kecovfoc1rab0qkb" Type="http://schemas.openxmlformats.org/officeDocument/2006/relationships/hyperlink" Target="https://www.impo.com.uy/bases/leyes/16466-1994/13" TargetMode="External"/><Relationship Id="rId8cx5ezrvna5kbmdwkhcx1" Type="http://schemas.openxmlformats.org/officeDocument/2006/relationships/hyperlink" Target="https://www.impo.com.uy/bases/leyes/19924-2020/521" TargetMode="External"/><Relationship Id="rIdpwki_q_aqu-cezra_sz0x" Type="http://schemas.openxmlformats.org/officeDocument/2006/relationships/hyperlink" Target="https://www.impo.com.uy/bases/leyes/19924-2020/3" TargetMode="External"/><Relationship Id="rIdo5sj8vbldpvilpkmnqgjh" Type="http://schemas.openxmlformats.org/officeDocument/2006/relationships/hyperlink" Target="https://www.impo.com.uy/bases/leyes/19670-2018/2" TargetMode="External"/><Relationship Id="rIdz99w_nx3jlbrbljoo-fhj" Type="http://schemas.openxmlformats.org/officeDocument/2006/relationships/hyperlink" Target="https://www.impo.com.uy/bases/leyes/19670-2018/213" TargetMode="External"/><Relationship Id="rIds8us-5omhmay0iiyis5jp" Type="http://schemas.openxmlformats.org/officeDocument/2006/relationships/hyperlink" Target="https://www.impo.com.uy/bases/leyes-originales/19670-2018/213" TargetMode="External"/><Relationship Id="rIdcpdldimcjapo8qv3vwado" Type="http://schemas.openxmlformats.org/officeDocument/2006/relationships/hyperlink" Target="https://www.impo.com.uy/bases/leyes-originales/16466-1994/11" TargetMode="External"/><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de Evaluación del Impacto Ambiental · texto consolidado vigente al 27 de octubre de 2026</dc:title>
  <dc:subject>Ley N.º 16.466 de 1994</dc:subject>
  <dc:creator>Texto Vigente</dc:creator>
  <dc:description>Ley N.º 16.466 de 1994. Fuente: IMPO (https://www.impo.com.uy/bases/leyes/16466-1994). https://www.textovigente.com/ley-16466/</dc:description>
  <cp:lastModifiedBy>Un-named</cp:lastModifiedBy>
  <cp:revision>1</cp:revision>
  <dcterms:created xsi:type="dcterms:W3CDTF">2026-10-27T16:00:29.416Z</dcterms:created>
  <dcterms:modified xsi:type="dcterms:W3CDTF">2026-10-27T16:00:29.416Z</dcterms:modified>
</cp:coreProperties>
</file>

<file path=docProps/custom.xml><?xml version="1.0" encoding="utf-8"?>
<Properties xmlns="http://schemas.openxmlformats.org/officeDocument/2006/custom-properties" xmlns:vt="http://schemas.openxmlformats.org/officeDocument/2006/docPropsVTypes"/>
</file>