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0"/>
      </w:pPr>
      <w:r>
        <w:rPr>
          <w:rFonts w:ascii="Arial" w:cs="Arial" w:eastAsia="Arial" w:hAnsi="Arial"/>
          <w:color w:val="14213D"/>
          <w:sz w:val="20"/>
          <w:szCs w:val="20"/>
        </w:rPr>
        <w:t xml:space="preserve">Texto Vigente · Legislación uruguaya consolidada</w:t>
      </w:r>
    </w:p>
    <w:p>
      <w:pPr>
        <w:spacing w:after="20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Decreto de la República Oriental del Uruguay</w:t>
      </w:r>
    </w:p>
    <w:p>
      <w:pPr>
        <w:pStyle w:val="Title"/>
      </w:pPr>
      <w:r>
        <w:rPr>
          <w:color w:val="14213D"/>
        </w:rPr>
        <w:t xml:space="preserve">Reglamentación de la actividad sindical (Ley 17.940)</w:t>
      </w:r>
    </w:p>
    <w:p>
      <w:pPr>
        <w:spacing w:after="300"/>
      </w:pPr>
      <w:r>
        <w:rPr>
          <w:rFonts w:ascii="Arial" w:cs="Arial" w:eastAsia="Arial" w:hAnsi="Arial"/>
          <w:sz w:val="24"/>
          <w:szCs w:val="24"/>
        </w:rPr>
        <w:t xml:space="preserve">Decreto N.º 66/006</w:t>
      </w:r>
    </w:p>
    <w:p>
      <w:pPr>
        <w:shd w:fill="FFF3DC" w:val="clear"/>
        <w:spacing w:after="400"/>
      </w:pPr>
      <w:r>
        <w:rPr>
          <w:rFonts w:ascii="Arial" w:cs="Arial" w:eastAsia="Arial" w:hAnsi="Arial"/>
          <w:b/>
          <w:bCs/>
          <w:color w:val="14213D"/>
          <w:sz w:val="24"/>
          <w:szCs w:val="24"/>
        </w:rPr>
        <w:t xml:space="preserve">Texto consolidado vigente al 13 de septiembre de 2026</w:t>
      </w:r>
    </w:p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Contenido: </w:t>
      </w:r>
      <w:r>
        <w:rPr>
          <w:rFonts w:ascii="Arial" w:cs="Arial" w:eastAsia="Arial" w:hAnsi="Arial"/>
          <w:sz w:val="20"/>
          <w:szCs w:val="20"/>
        </w:rPr>
        <w:t xml:space="preserve">8 artículos, 1 con notas de modificación.</w:t>
      </w:r>
    </w:p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Norma original: </w:t>
      </w:r>
      <w:r>
        <w:rPr>
          <w:rFonts w:ascii="Arial" w:cs="Arial" w:eastAsia="Arial" w:hAnsi="Arial"/>
          <w:sz w:val="20"/>
          <w:szCs w:val="20"/>
        </w:rPr>
        <w:t xml:space="preserve">promulgada el 6 de marzo de 2006, publicada el 10 de marzo de 2006.</w:t>
      </w:r>
    </w:p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Fuente: </w:t>
      </w:r>
      <w:r>
        <w:rPr>
          <w:rFonts w:ascii="Arial" w:cs="Arial" w:eastAsia="Arial" w:hAnsi="Arial"/>
          <w:sz w:val="20"/>
          <w:szCs w:val="20"/>
        </w:rPr>
        <w:t xml:space="preserve">https://www.impo.com.uy/bases/decretos/66-2006</w:t>
      </w:r>
    </w:p>
    <w:p>
      <w:pPr>
        <w:spacing w:after="12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Esta edición: </w:t>
      </w:r>
      <w:r>
        <w:rPr>
          <w:rFonts w:ascii="Arial" w:cs="Arial" w:eastAsia="Arial" w:hAnsi="Arial"/>
          <w:sz w:val="20"/>
          <w:szCs w:val="20"/>
        </w:rPr>
        <w:t xml:space="preserve">https://www.textovigente.com/decreto-66-006/ · descargado el 13 de septiembre de 2026</w:t>
      </w:r>
    </w:p>
    <w:p>
      <w:pPr>
        <w:spacing w:before="600"/>
      </w:pPr>
    </w:p>
    <w:p>
      <w:pPr>
        <w:spacing w:after="120" w:before="120"/>
        <w:jc w:val="both"/>
      </w:pPr>
      <w:r>
        <w:rPr>
          <w:rFonts w:ascii="Arial" w:cs="Arial" w:eastAsia="Arial" w:hAnsi="Arial"/>
          <w:b/>
          <w:bCs/>
          <w:color w:val="555555"/>
          <w:sz w:val="18"/>
          <w:szCs w:val="18"/>
        </w:rPr>
        <w:t xml:space="preserve">Fuente y licencia.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Texto tomado del Banco de Datos Jurídico Normativo de IMPO (Dirección Nacional de Impresiones y Publicaciones Oficiales), publicado bajo Licencia de Datos Abiertos – Uruguay. Conjunto de datos: https://www.impo.com.uy/bases/decretos/66-2006?json=true</w:t>
      </w:r>
    </w:p>
    <w:p>
      <w:pPr>
        <w:spacing w:after="120" w:before="120"/>
        <w:jc w:val="both"/>
      </w:pPr>
      <w:r>
        <w:rPr>
          <w:rFonts w:ascii="Arial" w:cs="Arial" w:eastAsia="Arial" w:hAnsi="Arial"/>
          <w:b/>
          <w:bCs/>
          <w:color w:val="555555"/>
          <w:sz w:val="18"/>
          <w:szCs w:val="18"/>
        </w:rPr>
        <w:t xml:space="preserve">Cambios introducidos por Texto Vigente.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Se reagrupan los artículos bajo sus encabezados de estructura, se recomponen los párrafos que la fuente entrega cortados a ancho fijo y se normaliza la tipografía. No se altera el contenido: no se añaden, suprimen ni reescriben disposiciones.</w:t>
      </w:r>
    </w:p>
    <w:p>
      <w:pPr>
        <w:spacing w:after="120" w:before="120"/>
        <w:jc w:val="both"/>
      </w:pPr>
      <w:r>
        <w:rPr>
          <w:rFonts w:ascii="Arial" w:cs="Arial" w:eastAsia="Arial" w:hAnsi="Arial"/>
          <w:b/>
          <w:bCs/>
          <w:color w:val="555555"/>
          <w:sz w:val="18"/>
          <w:szCs w:val="18"/>
        </w:rPr>
        <w:t xml:space="preserve">No es texto oficial.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Ante cualquier discrepancia prevalece el Diario Oficial. Esta edición no sustituye la consulta de la fuente oficial ni el asesoramiento profesional.</w:t>
      </w:r>
    </w:p>
    <w:p>
      <w:r>
        <w:br w:type="page"/>
      </w:r>
    </w:p>
    <w:p>
      <w:pPr>
        <w:sectPr>
          <w:pgSz w:w="11906" w:h="16838" w:orient="portrait"/>
          <w:pgMar w:top="1418" w:right="1418" w:bottom="1418" w:left="1418" w:header="708" w:footer="708" w:gutter="0"/>
          <w:pgNumType/>
          <w:docGrid w:linePitch="360"/>
        </w:sectPr>
      </w:pPr>
    </w:p>
    <w:p>
      <w:pPr>
        <w:pStyle w:val="Heading1"/>
      </w:pPr>
      <w:r>
        <w:t xml:space="preserve">Índice</w:t>
      </w:r>
    </w:p>
    <w:sdt>
      <w:sdtPr>
        <w:alias w:val="Índice"/>
      </w:sdtPr>
      <w:sdtContent>
        <w:p>
          <w:r>
            <w:fldChar w:fldCharType="begin" w:dirty="true"/>
            <w:instrText xml:space="preserve">TOC \h \o "1-4"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Articulo"/>
        <w:keepNext/>
        <w:spacing w:after="120" w:before="280"/>
      </w:pPr>
      <w:r>
        <w:rPr>
          <w:rFonts w:ascii="Arial" w:cs="Arial" w:eastAsia="Arial" w:hAnsi="Arial"/>
          <w:b/>
          <w:bCs/>
          <w:color w:val="14213D"/>
          <w:sz w:val="22"/>
          <w:szCs w:val="22"/>
        </w:rPr>
        <w:t xml:space="preserve">Artículo 1</w:t>
      </w:r>
    </w:p>
    <w:p>
      <w:pPr>
        <w:spacing w:after="120"/>
        <w:jc w:val="both"/>
      </w:pPr>
      <w:r>
        <w:rPr>
          <w:sz w:val="22"/>
          <w:szCs w:val="22"/>
        </w:rPr>
        <w:t xml:space="preserve">Las decisiones de los Consejos de Salarios reglamentando la licencia remunerada para el ejercicio de la actividad sindical, en el ámbito de su jurisdicción, serán publicadas en el "Diario Oficial" y en otros diarios o periódicos a juicio del Poder Ejecutivo.</w:t>
      </w:r>
    </w:p>
    <w:p>
      <w:pPr>
        <w:spacing w:after="120"/>
        <w:jc w:val="both"/>
      </w:pPr>
      <w:r>
        <w:rPr>
          <w:sz w:val="22"/>
          <w:szCs w:val="22"/>
        </w:rPr>
        <w:t xml:space="preserve">Para el caso que la reglamentación de la licencia sindical se realizara mediante convenio colectivo, las partes deberán adoptar las medidas adecuadas tendientes a su difusión.</w:t>
      </w:r>
    </w:p>
    <w:p>
      <w:pPr>
        <w:spacing w:after="120"/>
        <w:jc w:val="both"/>
      </w:pPr>
      <w:r>
        <w:rPr>
          <w:sz w:val="22"/>
          <w:szCs w:val="22"/>
        </w:rPr>
        <w:t xml:space="preserve">Sin perjuicio de ello, el Ministerio de Trabajo y Seguridad Social incluirá en su sitio web las decisiones y convenios mencionados.</w:t>
      </w:r>
    </w:p>
    <w:p>
      <w:pPr>
        <w:pStyle w:val="Articulo"/>
        <w:keepNext/>
        <w:spacing w:after="120" w:before="280"/>
      </w:pPr>
      <w:r>
        <w:rPr>
          <w:rFonts w:ascii="Arial" w:cs="Arial" w:eastAsia="Arial" w:hAnsi="Arial"/>
          <w:b/>
          <w:bCs/>
          <w:color w:val="14213D"/>
          <w:sz w:val="22"/>
          <w:szCs w:val="22"/>
        </w:rPr>
        <w:t xml:space="preserve">Artículo 2</w:t>
      </w:r>
    </w:p>
    <w:p>
      <w:pPr>
        <w:spacing w:after="120"/>
        <w:jc w:val="both"/>
      </w:pPr>
      <w:r>
        <w:rPr>
          <w:sz w:val="22"/>
          <w:szCs w:val="22"/>
        </w:rPr>
        <w:t xml:space="preserve">El total de lo producido de las multas que se apliquen por infracciones a las disposiciones de la Ley No. 17.940 será destinado al cumplimiento de los fines fijados por el Artículo 5º de dicha norma, a cuyos efectos el Ministerio de Trabajo y Seguridad Social, a través de la Dirección General, dispondrá las medidas administrativas correspondientes.</w:t>
      </w:r>
    </w:p>
    <w:p>
      <w:pPr>
        <w:pStyle w:val="Articulo"/>
        <w:keepNext/>
        <w:spacing w:after="120" w:before="280"/>
      </w:pPr>
      <w:r>
        <w:rPr>
          <w:rFonts w:ascii="Arial" w:cs="Arial" w:eastAsia="Arial" w:hAnsi="Arial"/>
          <w:b/>
          <w:bCs/>
          <w:color w:val="14213D"/>
          <w:sz w:val="22"/>
          <w:szCs w:val="22"/>
        </w:rPr>
        <w:t xml:space="preserve">Artículo 3</w:t>
      </w:r>
    </w:p>
    <w:p>
      <w:pPr>
        <w:spacing w:after="120"/>
        <w:jc w:val="both"/>
      </w:pPr>
      <w:r>
        <w:rPr>
          <w:sz w:val="22"/>
          <w:szCs w:val="22"/>
        </w:rPr>
        <w:t xml:space="preserve">Todo trabajador afiliado a un sindicato tendrá derecho, previa comunicación por escrito dando cuenta de su consentimiento, a que el empleador retenga de sus haberes la cuota por afiliación y lo vierta a la organización sindical que indique.</w:t>
      </w:r>
    </w:p>
    <w:p>
      <w:pPr>
        <w:spacing w:after="120"/>
        <w:jc w:val="both"/>
      </w:pPr>
      <w:r>
        <w:rPr>
          <w:sz w:val="22"/>
          <w:szCs w:val="22"/>
        </w:rPr>
        <w:t xml:space="preserve">El monto a descontar será fijado por el sindicato y comunicado en forma fehaciente a la empresa o institución empleadora, la que verterá a la organización los montos resultantes en un plazo perentorio de cinco días hábiles, a partir del efectivo pago del mes en curso.</w:t>
      </w:r>
    </w:p>
    <w:p>
      <w:pPr>
        <w:pStyle w:val="Articulo"/>
        <w:keepNext/>
        <w:spacing w:after="120" w:before="280"/>
      </w:pPr>
      <w:r>
        <w:rPr>
          <w:rFonts w:ascii="Arial" w:cs="Arial" w:eastAsia="Arial" w:hAnsi="Arial"/>
          <w:b/>
          <w:bCs/>
          <w:color w:val="14213D"/>
          <w:sz w:val="22"/>
          <w:szCs w:val="22"/>
        </w:rPr>
        <w:t xml:space="preserve">Artículo 4</w:t>
      </w:r>
    </w:p>
    <w:p>
      <w:pPr>
        <w:spacing w:after="120"/>
        <w:jc w:val="both"/>
      </w:pPr>
      <w:r>
        <w:rPr>
          <w:sz w:val="22"/>
          <w:szCs w:val="22"/>
        </w:rPr>
        <w:t xml:space="preserve">La organización sindical deberá comunicar al empleador en forma previa y por escrito, la o las personas autorizadas para el cobro de las cuotas a retenerse así como el monto de la cuota de afiliación. También podrá notificar al empleador un número de cuenta bancaria a efectos de que éste deposite las sumas objeto de retención. Dicha comunicación o notificación se tendrá por vigente y válida mientras no se comunique al empleador en forma fehaciente la revocación o modificación de la misma.</w:t>
      </w:r>
    </w:p>
    <w:p>
      <w:pPr>
        <w:pStyle w:val="Articulo"/>
        <w:keepNext/>
        <w:spacing w:after="120" w:before="280"/>
      </w:pPr>
      <w:r>
        <w:rPr>
          <w:rFonts w:ascii="Arial" w:cs="Arial" w:eastAsia="Arial" w:hAnsi="Arial"/>
          <w:b/>
          <w:bCs/>
          <w:color w:val="14213D"/>
          <w:sz w:val="22"/>
          <w:szCs w:val="22"/>
        </w:rPr>
        <w:t xml:space="preserve">Artículo 5</w:t>
      </w:r>
    </w:p>
    <w:p>
      <w:pPr>
        <w:spacing w:after="120"/>
        <w:jc w:val="both"/>
      </w:pPr>
      <w:r>
        <w:rPr>
          <w:sz w:val="22"/>
          <w:szCs w:val="22"/>
        </w:rPr>
        <w:t xml:space="preserve">(*)</w:t>
      </w:r>
    </w:p>
    <w:p>
      <w:pPr>
        <w:spacing w:after="40" w:before="60"/>
        <w:ind w:left="360"/>
      </w:pPr>
      <w:r>
        <w:rPr>
          <w:rFonts w:ascii="Arial" w:cs="Arial" w:eastAsia="Arial" w:hAnsi="Arial"/>
          <w:b/>
          <w:bCs/>
          <w:color w:val="555555"/>
          <w:sz w:val="17"/>
          <w:szCs w:val="17"/>
        </w:rPr>
        <w:t xml:space="preserve">Notas</w:t>
      </w:r>
    </w:p>
    <w:p>
      <w:pPr>
        <w:shd w:fill="F4F5F8" w:val="clear"/>
        <w:spacing w:after="60"/>
        <w:ind w:left="360"/>
      </w:pPr>
      <w:r>
        <w:rPr>
          <w:rFonts w:ascii="Arial" w:cs="Arial" w:eastAsia="Arial" w:hAnsi="Arial"/>
          <w:color w:val="555555"/>
          <w:sz w:val="17"/>
          <w:szCs w:val="17"/>
        </w:rPr>
        <w:t xml:space="preserve">Este artículo dio nueva redacción a: Decreto Nº 429/004 de 03/12/2004 
artículo </w:t>
      </w:r>
      <w:hyperlink w:history="1" r:id="rIdmwicz658ozc0jall7anlg">
        <w:r>
          <w:rPr>
            <w:rStyle w:val="Hyperlink"/>
            <w:rFonts w:ascii="Arial" w:cs="Arial" w:eastAsia="Arial" w:hAnsi="Arial"/>
            <w:sz w:val="17"/>
            <w:szCs w:val="17"/>
          </w:rPr>
          <w:t xml:space="preserve">6</w:t>
        </w:r>
      </w:hyperlink>
      <w:r>
        <w:rPr>
          <w:rFonts w:ascii="Arial" w:cs="Arial" w:eastAsia="Arial" w:hAnsi="Arial"/>
          <w:color w:val="555555"/>
          <w:sz w:val="17"/>
          <w:szCs w:val="17"/>
        </w:rPr>
        <w:t xml:space="preserve">.</w:t>
      </w:r>
    </w:p>
    <w:p>
      <w:pPr>
        <w:pStyle w:val="Articulo"/>
        <w:keepNext/>
        <w:spacing w:after="120" w:before="280"/>
      </w:pPr>
      <w:r>
        <w:rPr>
          <w:rFonts w:ascii="Arial" w:cs="Arial" w:eastAsia="Arial" w:hAnsi="Arial"/>
          <w:b/>
          <w:bCs/>
          <w:color w:val="14213D"/>
          <w:sz w:val="22"/>
          <w:szCs w:val="22"/>
        </w:rPr>
        <w:t xml:space="preserve">Artículo 6</w:t>
      </w:r>
    </w:p>
    <w:p>
      <w:pPr>
        <w:spacing w:after="120"/>
        <w:jc w:val="both"/>
      </w:pPr>
      <w:r>
        <w:rPr>
          <w:sz w:val="22"/>
          <w:szCs w:val="22"/>
        </w:rPr>
        <w:t xml:space="preserve">Los Consejos Superior Tripartito y Tripartito Rural establecidos por los Decretos Nº 105/005 de 7/III/2005 y Nº 139/005 de 19/IV/2005, y la Mesa de negociación bipartita establecida por Decreto Nº 104/005 de 7/III/2005, actuarán en calidad de órganos de consulta, contralor y seguimiento de la aplicación de la ley 17.940 de 2 de enero de 2006.</w:t>
      </w:r>
    </w:p>
    <w:p>
      <w:pPr>
        <w:pStyle w:val="Articulo"/>
        <w:keepNext/>
        <w:spacing w:after="120" w:before="280"/>
      </w:pPr>
      <w:r>
        <w:rPr>
          <w:rFonts w:ascii="Arial" w:cs="Arial" w:eastAsia="Arial" w:hAnsi="Arial"/>
          <w:b/>
          <w:bCs/>
          <w:color w:val="14213D"/>
          <w:sz w:val="22"/>
          <w:szCs w:val="22"/>
        </w:rPr>
        <w:t xml:space="preserve">Artículo 7</w:t>
      </w:r>
    </w:p>
    <w:p>
      <w:pPr>
        <w:spacing w:after="120"/>
        <w:jc w:val="both"/>
      </w:pPr>
      <w:r>
        <w:rPr>
          <w:sz w:val="22"/>
          <w:szCs w:val="22"/>
        </w:rPr>
        <w:t xml:space="preserve">Derógase el Decreto Nº 302/005 de 13/IX/2005 declarándose en vigencia los Decretos No. 93/968 de 3/II/1968 (artículo 289 de la Ley Nº 15.903, de 10 de noviembre de 1987, en la redacción dada por el artículo 412 de la Ley Nº 16.736 de 5 de enero de 1996) y No. 234/967 de 5/IV/1967.</w:t>
      </w:r>
    </w:p>
    <w:p>
      <w:pPr>
        <w:pStyle w:val="Articulo"/>
        <w:keepNext/>
        <w:spacing w:after="120" w:before="280"/>
      </w:pPr>
      <w:r>
        <w:rPr>
          <w:rFonts w:ascii="Arial" w:cs="Arial" w:eastAsia="Arial" w:hAnsi="Arial"/>
          <w:b/>
          <w:bCs/>
          <w:color w:val="14213D"/>
          <w:sz w:val="22"/>
          <w:szCs w:val="22"/>
        </w:rPr>
        <w:t xml:space="preserve">Artículo 8</w:t>
      </w:r>
    </w:p>
    <w:p>
      <w:pPr>
        <w:spacing w:after="120"/>
        <w:jc w:val="both"/>
      </w:pPr>
      <w:r>
        <w:rPr>
          <w:sz w:val="22"/>
          <w:szCs w:val="22"/>
        </w:rPr>
        <w:t xml:space="preserve">Comuníquese, publíquese, etc.</w:t>
      </w:r>
    </w:p>
    <w:sectPr>
      <w:footerReference w:type="default" r:id="rId7"/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555555"/>
        <w:sz w:val="16"/>
        <w:szCs w:val="16"/>
      </w:rPr>
      <w:t xml:space="preserve">Reglamentación de la actividad sindical (Ley 17.940) · texto vigente al 13/09/2026 · www.textovigente.com · página </w:t>
    </w:r>
    <w:r>
      <w:rPr>
        <w:rFonts w:ascii="Arial" w:cs="Arial" w:eastAsia="Arial" w:hAnsi="Arial"/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200"/>
    </w:pPr>
    <w:rPr>
      <w:rFonts w:ascii="Arial" w:cs="Arial" w:eastAsia="Arial" w:hAnsi="Arial"/>
      <w:b/>
      <w:bCs/>
      <w:color w:val="14213D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200" w:before="480"/>
    </w:pPr>
    <w:rPr>
      <w:rFonts w:ascii="Arial" w:cs="Arial" w:eastAsia="Arial" w:hAnsi="Arial"/>
      <w:b/>
      <w:bCs/>
      <w:color w:val="14213D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60" w:before="360"/>
    </w:pPr>
    <w:rPr>
      <w:rFonts w:ascii="Arial" w:cs="Arial" w:eastAsia="Arial" w:hAnsi="Arial"/>
      <w:b/>
      <w:bCs/>
      <w:color w:val="14213D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Arial" w:cs="Arial" w:eastAsia="Arial" w:hAnsi="Arial"/>
      <w:b/>
      <w:bCs/>
      <w:color w:val="14213D"/>
      <w:sz w:val="24"/>
      <w:szCs w:val="24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Arial" w:cs="Arial" w:eastAsia="Arial" w:hAnsi="Arial"/>
      <w:b/>
      <w:bCs/>
      <w:color w:val="555555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Articulo">
    <w:name w:val="Artículo"/>
    <w:basedOn w:val="Normal"/>
    <w:next w:val="Normal"/>
    <w:qFormat/>
    <w:pPr>
      <w:keepNext/>
    </w:pPr>
    <w:rPr>
      <w:rFonts w:ascii="Arial" w:cs="Arial" w:eastAsia="Arial" w:hAnsi="Arial"/>
      <w:b/>
      <w:bCs/>
      <w:color w:val="14213D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mwicz658ozc0jall7anlg" Type="http://schemas.openxmlformats.org/officeDocument/2006/relationships/hyperlink" Target="https://www.impo.com.uy/bases/decretos/429-2004/6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Reglamentación de la actividad sindical (Ley 17.940) · texto consolidado vigente al 13 de septiembre de 2026</dc:title>
  <dc:subject>Decreto N.º 66/006</dc:subject>
  <dc:creator>Texto Vigente</dc:creator>
  <dc:description>Decreto N.º 66/006. Fuente: IMPO (https://www.impo.com.uy/bases/decretos/66-2006). https://www.textovigente.com/decreto-66-006/</dc:description>
  <cp:lastModifiedBy>Un-named</cp:lastModifiedBy>
  <cp:revision>1</cp:revision>
  <dcterms:created xsi:type="dcterms:W3CDTF">2026-09-13T19:06:42.787Z</dcterms:created>
  <dcterms:modified xsi:type="dcterms:W3CDTF">2026-09-13T19:06:42.787Z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